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C4F4F9">
      <w:pPr>
        <w:spacing w:after="100" w:afterAutospacing="1"/>
        <w:ind w:firstLine="964"/>
        <w:jc w:val="center"/>
        <w:rPr>
          <w:b/>
          <w:sz w:val="48"/>
          <w:szCs w:val="48"/>
        </w:rPr>
      </w:pPr>
      <w:bookmarkStart w:id="18" w:name="_GoBack"/>
      <w:bookmarkEnd w:id="18"/>
    </w:p>
    <w:p w14:paraId="33F6C2C2">
      <w:pPr>
        <w:spacing w:after="100" w:afterAutospacing="1"/>
        <w:ind w:firstLine="964"/>
        <w:rPr>
          <w:b/>
          <w:sz w:val="48"/>
          <w:szCs w:val="48"/>
        </w:rPr>
      </w:pPr>
    </w:p>
    <w:p w14:paraId="1C9A5F33">
      <w:pPr>
        <w:spacing w:after="100" w:afterAutospacing="1"/>
        <w:ind w:firstLine="0" w:firstLineChars="0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吉林省工程建设项目招标代理机构</w:t>
      </w:r>
      <w:r>
        <w:rPr>
          <w:b/>
          <w:sz w:val="48"/>
          <w:szCs w:val="48"/>
        </w:rPr>
        <w:br w:type="textWrapping"/>
      </w:r>
      <w:r>
        <w:rPr>
          <w:rFonts w:hint="eastAsia"/>
          <w:b/>
          <w:sz w:val="48"/>
          <w:szCs w:val="48"/>
        </w:rPr>
        <w:t>管理服务信息系统</w:t>
      </w:r>
      <w:r>
        <w:rPr>
          <w:b/>
          <w:sz w:val="48"/>
          <w:szCs w:val="48"/>
        </w:rPr>
        <w:br w:type="textWrapping"/>
      </w:r>
      <w:r>
        <w:rPr>
          <w:rFonts w:hint="eastAsia"/>
          <w:b/>
          <w:sz w:val="48"/>
          <w:szCs w:val="48"/>
        </w:rPr>
        <w:t>-企业端</w:t>
      </w:r>
    </w:p>
    <w:p w14:paraId="6942EF62">
      <w:pPr>
        <w:spacing w:after="100" w:afterAutospacing="1"/>
        <w:ind w:firstLine="420"/>
      </w:pPr>
    </w:p>
    <w:p w14:paraId="47E663DC">
      <w:pPr>
        <w:spacing w:after="100" w:afterAutospacing="1"/>
        <w:ind w:firstLine="420"/>
      </w:pPr>
    </w:p>
    <w:p w14:paraId="6C91BFEB">
      <w:pPr>
        <w:spacing w:after="100" w:afterAutospacing="1"/>
        <w:ind w:firstLine="2880" w:firstLineChars="720"/>
        <w:rPr>
          <w:rFonts w:ascii="Tahoma" w:hAnsi="Tahoma" w:eastAsia="微软雅黑"/>
          <w:kern w:val="0"/>
          <w:sz w:val="40"/>
          <w:szCs w:val="40"/>
        </w:rPr>
      </w:pPr>
      <w:r>
        <w:rPr>
          <w:rFonts w:hint="eastAsia" w:ascii="Tahoma" w:hAnsi="Tahoma" w:eastAsia="微软雅黑"/>
          <w:kern w:val="0"/>
          <w:sz w:val="40"/>
          <w:szCs w:val="40"/>
        </w:rPr>
        <w:t>（操作</w:t>
      </w:r>
      <w:r>
        <w:rPr>
          <w:rFonts w:hint="eastAsia" w:ascii="Tahoma" w:hAnsi="Tahoma" w:eastAsia="微软雅黑"/>
          <w:kern w:val="0"/>
          <w:sz w:val="40"/>
          <w:szCs w:val="40"/>
          <w:lang w:eastAsia="zh-CN"/>
        </w:rPr>
        <w:t>手册</w:t>
      </w:r>
      <w:r>
        <w:rPr>
          <w:rFonts w:hint="eastAsia" w:ascii="Tahoma" w:hAnsi="Tahoma" w:eastAsia="微软雅黑"/>
          <w:kern w:val="0"/>
          <w:sz w:val="40"/>
          <w:szCs w:val="40"/>
        </w:rPr>
        <w:t>）</w:t>
      </w:r>
    </w:p>
    <w:p w14:paraId="2E7C81C6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798B55E1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716A877B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1EDC6582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082EEE64">
      <w:pPr>
        <w:spacing w:after="100" w:afterAutospacing="1"/>
        <w:ind w:firstLine="800"/>
        <w:jc w:val="center"/>
        <w:rPr>
          <w:rFonts w:ascii="Tahoma" w:hAnsi="Tahoma" w:eastAsia="微软雅黑"/>
          <w:kern w:val="0"/>
          <w:sz w:val="40"/>
          <w:szCs w:val="40"/>
        </w:rPr>
      </w:pPr>
    </w:p>
    <w:p w14:paraId="0B7C34B8">
      <w:pPr>
        <w:ind w:left="1498" w:firstLine="602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北京建设信源资讯有限公司 </w:t>
      </w:r>
    </w:p>
    <w:p w14:paraId="36FF27C6">
      <w:pPr>
        <w:spacing w:after="100" w:afterAutospacing="1"/>
        <w:ind w:firstLine="3012" w:firstLineChars="100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二〇二五年十二月</w:t>
      </w:r>
    </w:p>
    <w:p w14:paraId="75A5A1DB">
      <w:pPr>
        <w:widowControl/>
        <w:ind w:firstLine="602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14:paraId="6E3F40F9">
      <w:pPr>
        <w:pStyle w:val="12"/>
      </w:pPr>
      <w:r>
        <w:rPr>
          <w:rFonts w:hint="eastAsia"/>
        </w:rPr>
        <w:t>目 录</w:t>
      </w:r>
    </w:p>
    <w:p w14:paraId="0BAC7863">
      <w:pPr>
        <w:pStyle w:val="12"/>
        <w:tabs>
          <w:tab w:val="right" w:leader="dot" w:pos="8312"/>
          <w:tab w:val="clear" w:pos="8296"/>
        </w:tabs>
        <w:ind w:firstLine="480"/>
      </w:pPr>
      <w:r>
        <w:rPr>
          <w:rFonts w:hint="eastAsia" w:asciiTheme="majorEastAsia" w:hAnsiTheme="majorEastAsia" w:eastAsiaTheme="majorEastAsia"/>
          <w:sz w:val="24"/>
          <w:szCs w:val="21"/>
          <w:lang w:val="en-US" w:eastAsia="zh-CN"/>
        </w:rPr>
        <w:t xml:space="preserve">   </w:t>
      </w:r>
      <w:r>
        <w:rPr>
          <w:rFonts w:asciiTheme="majorEastAsia" w:hAnsiTheme="majorEastAsia" w:eastAsiaTheme="majorEastAsia"/>
          <w:sz w:val="24"/>
          <w:szCs w:val="21"/>
        </w:rPr>
        <w:fldChar w:fldCharType="begin"/>
      </w:r>
      <w:r>
        <w:rPr>
          <w:rFonts w:asciiTheme="majorEastAsia" w:hAnsiTheme="majorEastAsia" w:eastAsiaTheme="majorEastAsia"/>
          <w:sz w:val="24"/>
          <w:szCs w:val="21"/>
        </w:rPr>
        <w:instrText xml:space="preserve"> TOC \o "1-3" \h \z \u </w:instrText>
      </w:r>
      <w:r>
        <w:rPr>
          <w:rFonts w:asciiTheme="majorEastAsia" w:hAnsiTheme="majorEastAsia" w:eastAsiaTheme="majorEastAsia"/>
          <w:sz w:val="24"/>
          <w:szCs w:val="21"/>
        </w:rPr>
        <w:fldChar w:fldCharType="separate"/>
      </w:r>
      <w:r>
        <w:fldChar w:fldCharType="begin"/>
      </w:r>
      <w:r>
        <w:instrText xml:space="preserve"> HYPERLINK \l "_Toc7303" </w:instrText>
      </w:r>
      <w:r>
        <w:fldChar w:fldCharType="separate"/>
      </w:r>
      <w:r>
        <w:rPr>
          <w:rFonts w:hint="eastAsia"/>
        </w:rPr>
        <w:t>1、系统环境要求</w:t>
      </w:r>
      <w:r>
        <w:tab/>
      </w:r>
      <w:r>
        <w:fldChar w:fldCharType="begin"/>
      </w:r>
      <w:r>
        <w:instrText xml:space="preserve"> PAGEREF _Toc7303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2931F0A">
      <w:pPr>
        <w:pStyle w:val="12"/>
        <w:tabs>
          <w:tab w:val="right" w:leader="dot" w:pos="8312"/>
          <w:tab w:val="clear" w:pos="8296"/>
        </w:tabs>
      </w:pPr>
      <w:r>
        <w:fldChar w:fldCharType="begin"/>
      </w:r>
      <w:r>
        <w:instrText xml:space="preserve"> HYPERLINK \l "_Toc21772" </w:instrText>
      </w:r>
      <w:r>
        <w:fldChar w:fldCharType="separate"/>
      </w:r>
      <w:r>
        <w:rPr>
          <w:rFonts w:hint="eastAsia"/>
        </w:rPr>
        <w:t>2、系统登录</w:t>
      </w:r>
      <w:r>
        <w:tab/>
      </w:r>
      <w:r>
        <w:fldChar w:fldCharType="begin"/>
      </w:r>
      <w:r>
        <w:instrText xml:space="preserve"> PAGEREF _Toc21772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11AC1DD">
      <w:pPr>
        <w:pStyle w:val="7"/>
        <w:tabs>
          <w:tab w:val="right" w:leader="dot" w:pos="8312"/>
        </w:tabs>
        <w:ind w:firstLine="440"/>
      </w:pPr>
      <w:r>
        <w:fldChar w:fldCharType="begin"/>
      </w:r>
      <w:r>
        <w:instrText xml:space="preserve"> HYPERLINK \l "_Toc26834" </w:instrText>
      </w:r>
      <w:r>
        <w:fldChar w:fldCharType="separate"/>
      </w:r>
      <w:r>
        <w:rPr>
          <w:rFonts w:hint="eastAsia"/>
        </w:rPr>
        <w:t>2.1网址</w:t>
      </w:r>
      <w:r>
        <w:tab/>
      </w:r>
      <w:r>
        <w:fldChar w:fldCharType="begin"/>
      </w:r>
      <w:r>
        <w:instrText xml:space="preserve"> PAGEREF _Toc26834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A8BFF3F">
      <w:pPr>
        <w:pStyle w:val="7"/>
        <w:tabs>
          <w:tab w:val="right" w:leader="dot" w:pos="8312"/>
        </w:tabs>
        <w:ind w:firstLine="440"/>
      </w:pPr>
      <w:r>
        <w:fldChar w:fldCharType="begin"/>
      </w:r>
      <w:r>
        <w:instrText xml:space="preserve"> HYPERLINK \l "_Toc31857" </w:instrText>
      </w:r>
      <w:r>
        <w:fldChar w:fldCharType="separate"/>
      </w:r>
      <w:r>
        <w:rPr>
          <w:rFonts w:hint="eastAsia"/>
        </w:rPr>
        <w:t>2.2登录</w:t>
      </w:r>
      <w:r>
        <w:tab/>
      </w:r>
      <w:r>
        <w:fldChar w:fldCharType="begin"/>
      </w:r>
      <w:r>
        <w:instrText xml:space="preserve"> PAGEREF _Toc31857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7CBE40F">
      <w:pPr>
        <w:pStyle w:val="12"/>
        <w:tabs>
          <w:tab w:val="right" w:leader="dot" w:pos="8312"/>
          <w:tab w:val="clear" w:pos="8296"/>
        </w:tabs>
      </w:pPr>
      <w:r>
        <w:fldChar w:fldCharType="begin"/>
      </w:r>
      <w:r>
        <w:instrText xml:space="preserve"> HYPERLINK \l "_Toc32753" </w:instrText>
      </w:r>
      <w:r>
        <w:fldChar w:fldCharType="separate"/>
      </w:r>
      <w:r>
        <w:rPr>
          <w:rFonts w:hint="eastAsia"/>
        </w:rPr>
        <w:t>3、功能详细说明</w:t>
      </w:r>
      <w:r>
        <w:tab/>
      </w:r>
      <w:r>
        <w:fldChar w:fldCharType="begin"/>
      </w:r>
      <w:r>
        <w:instrText xml:space="preserve"> PAGEREF _Toc32753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63F8FAEC">
      <w:pPr>
        <w:pStyle w:val="7"/>
        <w:tabs>
          <w:tab w:val="right" w:leader="dot" w:pos="8312"/>
        </w:tabs>
        <w:ind w:firstLine="440"/>
      </w:pPr>
      <w:r>
        <w:fldChar w:fldCharType="begin"/>
      </w:r>
      <w:r>
        <w:instrText xml:space="preserve"> HYPERLINK \l "_Toc30922" </w:instrText>
      </w:r>
      <w:r>
        <w:fldChar w:fldCharType="separate"/>
      </w:r>
      <w:r>
        <w:rPr>
          <w:rFonts w:hint="eastAsia"/>
        </w:rPr>
        <w:t>3</w:t>
      </w:r>
      <w:r>
        <w:t>.1</w:t>
      </w:r>
      <w:r>
        <w:rPr>
          <w:rFonts w:hint="eastAsia"/>
        </w:rPr>
        <w:t>、登记管理</w:t>
      </w:r>
      <w:r>
        <w:tab/>
      </w:r>
      <w:r>
        <w:fldChar w:fldCharType="begin"/>
      </w:r>
      <w:r>
        <w:instrText xml:space="preserve"> PAGEREF _Toc30922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61BF2A17">
      <w:pPr>
        <w:pStyle w:val="7"/>
        <w:tabs>
          <w:tab w:val="right" w:leader="dot" w:pos="8312"/>
        </w:tabs>
        <w:ind w:firstLine="440"/>
      </w:pPr>
      <w:r>
        <w:fldChar w:fldCharType="begin"/>
      </w:r>
      <w:r>
        <w:instrText xml:space="preserve"> HYPERLINK \l "_Toc2276" </w:instrText>
      </w:r>
      <w: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</w:rPr>
        <w:t>2、变更登记</w:t>
      </w:r>
      <w:r>
        <w:tab/>
      </w:r>
      <w:r>
        <w:fldChar w:fldCharType="begin"/>
      </w:r>
      <w:r>
        <w:instrText xml:space="preserve"> PAGEREF _Toc2276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DBEA5F1">
      <w:pPr>
        <w:pStyle w:val="7"/>
        <w:tabs>
          <w:tab w:val="right" w:leader="dot" w:pos="8312"/>
        </w:tabs>
        <w:ind w:firstLine="440"/>
      </w:pPr>
      <w:r>
        <w:fldChar w:fldCharType="begin"/>
      </w:r>
      <w:r>
        <w:instrText xml:space="preserve"> HYPERLINK \l "_Toc6810" </w:instrText>
      </w:r>
      <w: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</w:rPr>
        <w:t>3</w:t>
      </w:r>
      <w:r>
        <w:t>、</w:t>
      </w:r>
      <w:r>
        <w:rPr>
          <w:rFonts w:hint="eastAsia"/>
        </w:rPr>
        <w:t>业绩信息</w:t>
      </w:r>
      <w:r>
        <w:tab/>
      </w:r>
      <w:r>
        <w:fldChar w:fldCharType="begin"/>
      </w:r>
      <w:r>
        <w:instrText xml:space="preserve"> PAGEREF _Toc6810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15F11CD8">
      <w:pPr>
        <w:pStyle w:val="7"/>
        <w:tabs>
          <w:tab w:val="right" w:leader="dot" w:pos="8312"/>
        </w:tabs>
        <w:ind w:firstLine="440"/>
      </w:pPr>
      <w:r>
        <w:fldChar w:fldCharType="begin"/>
      </w:r>
      <w:r>
        <w:instrText xml:space="preserve"> HYPERLINK \l "_Toc18841" </w:instrText>
      </w:r>
      <w:r>
        <w:fldChar w:fldCharType="separate"/>
      </w:r>
      <w:r>
        <w:rPr>
          <w:rFonts w:hint="eastAsia"/>
        </w:rPr>
        <w:t>3</w:t>
      </w:r>
      <w:r>
        <w:t>.</w:t>
      </w:r>
      <w:r>
        <w:rPr>
          <w:rFonts w:hint="eastAsia"/>
        </w:rPr>
        <w:t>4、行政处罚信息</w:t>
      </w:r>
      <w:r>
        <w:tab/>
      </w:r>
      <w:r>
        <w:fldChar w:fldCharType="begin"/>
      </w:r>
      <w:r>
        <w:instrText xml:space="preserve"> PAGEREF _Toc18841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5DEC3B8C">
      <w:pPr>
        <w:pStyle w:val="13"/>
        <w:spacing w:line="240" w:lineRule="auto"/>
        <w:ind w:left="0" w:leftChars="0" w:firstLine="1080" w:firstLineChars="0"/>
        <w:rPr>
          <w:rFonts w:hint="eastAsia"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fldChar w:fldCharType="end"/>
      </w:r>
    </w:p>
    <w:p w14:paraId="4AB542B9">
      <w:pPr>
        <w:ind w:firstLine="420"/>
      </w:pPr>
    </w:p>
    <w:p w14:paraId="26CD9D62">
      <w:pPr>
        <w:ind w:firstLine="420"/>
      </w:pPr>
    </w:p>
    <w:p w14:paraId="5B4B14C6">
      <w:pPr>
        <w:ind w:firstLine="420"/>
      </w:pPr>
    </w:p>
    <w:p w14:paraId="6A68CB91">
      <w:pPr>
        <w:ind w:firstLine="420"/>
      </w:pPr>
    </w:p>
    <w:p w14:paraId="51565922">
      <w:pPr>
        <w:ind w:firstLine="420"/>
      </w:pPr>
    </w:p>
    <w:p w14:paraId="78A656EC">
      <w:pPr>
        <w:ind w:firstLine="420"/>
      </w:pPr>
    </w:p>
    <w:p w14:paraId="20619951">
      <w:pPr>
        <w:ind w:firstLine="420"/>
      </w:pPr>
    </w:p>
    <w:p w14:paraId="5B437C62">
      <w:pPr>
        <w:ind w:firstLine="420"/>
      </w:pPr>
    </w:p>
    <w:p w14:paraId="4707B223">
      <w:pPr>
        <w:ind w:firstLine="420"/>
      </w:pPr>
    </w:p>
    <w:p w14:paraId="0D49D032">
      <w:pPr>
        <w:ind w:firstLine="420"/>
      </w:pPr>
    </w:p>
    <w:p w14:paraId="63C4BBB8">
      <w:pPr>
        <w:ind w:firstLine="420"/>
      </w:pPr>
    </w:p>
    <w:p w14:paraId="0D626C78">
      <w:pPr>
        <w:ind w:firstLine="420"/>
      </w:pPr>
    </w:p>
    <w:p w14:paraId="13E7FD48">
      <w:pPr>
        <w:ind w:firstLine="420"/>
      </w:pPr>
    </w:p>
    <w:p w14:paraId="5FF3D9A0">
      <w:pPr>
        <w:pStyle w:val="2"/>
        <w:numPr>
          <w:ilvl w:val="0"/>
          <w:numId w:val="1"/>
        </w:numPr>
        <w:ind w:firstLine="723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06" w:h="16838"/>
          <w:pgMar w:top="1440" w:right="1797" w:bottom="1440" w:left="1797" w:header="851" w:footer="992" w:gutter="0"/>
          <w:cols w:space="425" w:num="1"/>
          <w:docGrid w:type="lines" w:linePitch="312" w:charSpace="0"/>
        </w:sectPr>
      </w:pPr>
      <w:bookmarkStart w:id="0" w:name="_Toc7303"/>
      <w:bookmarkStart w:id="1" w:name="_Toc531682947"/>
      <w:bookmarkStart w:id="2" w:name="_Toc514062226"/>
    </w:p>
    <w:p w14:paraId="45EC63C9">
      <w:pPr>
        <w:pStyle w:val="2"/>
        <w:numPr>
          <w:ilvl w:val="0"/>
          <w:numId w:val="1"/>
        </w:numPr>
        <w:ind w:firstLine="723"/>
      </w:pPr>
      <w:r>
        <w:rPr>
          <w:rFonts w:hint="eastAsia"/>
        </w:rPr>
        <w:t>系统环境要求</w:t>
      </w:r>
      <w:bookmarkEnd w:id="0"/>
    </w:p>
    <w:p w14:paraId="18BCEB71">
      <w:pPr>
        <w:spacing w:line="360" w:lineRule="auto"/>
        <w:ind w:firstLine="420"/>
      </w:pPr>
      <w:r>
        <w:rPr>
          <w:rFonts w:hint="eastAsia"/>
        </w:rPr>
        <w:t xml:space="preserve">1.1浏览器 </w:t>
      </w:r>
    </w:p>
    <w:p w14:paraId="22A1043A">
      <w:pPr>
        <w:spacing w:line="360" w:lineRule="auto"/>
        <w:ind w:firstLine="420"/>
      </w:pPr>
      <w:r>
        <w:rPr>
          <w:rFonts w:hint="eastAsia"/>
        </w:rPr>
        <w:t xml:space="preserve">建议使用谷歌浏览器，其他浏览器可能出现未知不兼容情况 </w:t>
      </w:r>
    </w:p>
    <w:p w14:paraId="162BE510">
      <w:pPr>
        <w:spacing w:line="360" w:lineRule="auto"/>
        <w:ind w:firstLine="420"/>
      </w:pPr>
      <w:r>
        <w:rPr>
          <w:rFonts w:hint="eastAsia"/>
        </w:rPr>
        <w:t xml:space="preserve">1.2 网络建议 </w:t>
      </w:r>
    </w:p>
    <w:p w14:paraId="2CFF4EEF">
      <w:pPr>
        <w:spacing w:line="360" w:lineRule="auto"/>
        <w:ind w:firstLine="422"/>
        <w:rPr>
          <w:b/>
          <w:bCs/>
        </w:rPr>
      </w:pPr>
      <w:r>
        <w:rPr>
          <w:rFonts w:hint="eastAsia"/>
          <w:b/>
          <w:bCs/>
        </w:rPr>
        <w:t>建议 10M/100M 及以上以太网</w:t>
      </w:r>
    </w:p>
    <w:p w14:paraId="59840289">
      <w:pPr>
        <w:pStyle w:val="2"/>
        <w:ind w:firstLine="723"/>
      </w:pPr>
      <w:bookmarkStart w:id="3" w:name="_Toc21772"/>
      <w:r>
        <w:rPr>
          <w:rFonts w:hint="eastAsia"/>
        </w:rPr>
        <w:t>2、系统登录</w:t>
      </w:r>
      <w:bookmarkEnd w:id="1"/>
      <w:bookmarkEnd w:id="2"/>
      <w:bookmarkEnd w:id="3"/>
    </w:p>
    <w:p w14:paraId="38622833">
      <w:pPr>
        <w:pStyle w:val="4"/>
        <w:ind w:firstLine="643"/>
      </w:pPr>
      <w:bookmarkStart w:id="4" w:name="_Toc26834"/>
      <w:r>
        <w:rPr>
          <w:rFonts w:hint="eastAsia"/>
        </w:rPr>
        <w:t>2.1网址</w:t>
      </w:r>
      <w:bookmarkEnd w:id="4"/>
    </w:p>
    <w:p w14:paraId="28ACEB9E">
      <w:pPr>
        <w:spacing w:line="360" w:lineRule="auto"/>
        <w:ind w:firstLine="420"/>
      </w:pPr>
      <w:r>
        <w:fldChar w:fldCharType="begin"/>
      </w:r>
      <w:r>
        <w:instrText xml:space="preserve"> HYPERLINK "http://125.32.11.44:82/webserver/app_zbdl/index.html" \t "_blank" </w:instrText>
      </w:r>
      <w:r>
        <w:fldChar w:fldCharType="separate"/>
      </w:r>
      <w:r>
        <w:t>http://125.32.11.44:8</w:t>
      </w:r>
      <w:r>
        <w:rPr>
          <w:rFonts w:hint="eastAsia"/>
        </w:rPr>
        <w:t>1</w:t>
      </w:r>
      <w:r>
        <w:t>/webserver/app_zb/index.html</w:t>
      </w:r>
      <w:r>
        <w:fldChar w:fldCharType="end"/>
      </w:r>
    </w:p>
    <w:p w14:paraId="0CD7E3FE">
      <w:pPr>
        <w:pStyle w:val="4"/>
        <w:ind w:firstLine="643"/>
      </w:pPr>
      <w:bookmarkStart w:id="5" w:name="_Toc31857"/>
      <w:r>
        <w:rPr>
          <w:rFonts w:hint="eastAsia"/>
        </w:rPr>
        <w:t>2.2登录</w:t>
      </w:r>
      <w:bookmarkEnd w:id="5"/>
    </w:p>
    <w:p w14:paraId="515247B6">
      <w:pPr>
        <w:spacing w:line="360" w:lineRule="auto"/>
        <w:ind w:firstLine="420"/>
      </w:pPr>
      <w:r>
        <w:rPr>
          <w:rFonts w:hint="eastAsia"/>
        </w:rPr>
        <w:t>第一步：企业登陆网址点击“法人登录”按钮。如下图2-1所示：</w:t>
      </w:r>
    </w:p>
    <w:p w14:paraId="5C95F30C">
      <w:pPr>
        <w:adjustRightInd w:val="0"/>
        <w:snapToGrid w:val="0"/>
        <w:spacing w:line="360" w:lineRule="auto"/>
        <w:ind w:firstLine="0" w:firstLineChars="0"/>
        <w:jc w:val="center"/>
        <w:rPr>
          <w:rFonts w:ascii="宋体" w:eastAsia="宋体" w:cs="宋体"/>
          <w:color w:val="000000"/>
          <w:kern w:val="0"/>
          <w:sz w:val="18"/>
          <w:szCs w:val="18"/>
          <w:lang w:val="zh-CN"/>
        </w:rPr>
      </w:pPr>
      <w:r>
        <w:drawing>
          <wp:inline distT="0" distB="0" distL="0" distR="0">
            <wp:extent cx="5275580" cy="2928620"/>
            <wp:effectExtent l="0" t="0" r="0" b="0"/>
            <wp:docPr id="511744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44702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FCB4"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楷体" w:hAnsi="楷体" w:eastAsia="楷体" w:cs="宋体"/>
          <w:color w:val="000000"/>
          <w:kern w:val="0"/>
          <w:sz w:val="18"/>
          <w:szCs w:val="18"/>
          <w:lang w:val="zh-CN"/>
        </w:rPr>
      </w:pPr>
      <w:r>
        <w:rPr>
          <w:rFonts w:hint="eastAsia" w:ascii="楷体" w:hAnsi="楷体" w:eastAsia="楷体" w:cs="宋体"/>
          <w:color w:val="000000"/>
          <w:kern w:val="0"/>
          <w:sz w:val="18"/>
          <w:szCs w:val="18"/>
          <w:lang w:val="zh-CN"/>
        </w:rPr>
        <w:t>图2-1系统登录</w:t>
      </w:r>
    </w:p>
    <w:p w14:paraId="5180946E">
      <w:pPr>
        <w:ind w:firstLine="420"/>
        <w:rPr>
          <w:lang w:val="zh-CN"/>
        </w:rPr>
      </w:pPr>
    </w:p>
    <w:p w14:paraId="4CCB105C">
      <w:pPr>
        <w:tabs>
          <w:tab w:val="left" w:pos="2547"/>
        </w:tabs>
        <w:ind w:firstLine="420"/>
        <w:jc w:val="left"/>
      </w:pPr>
      <w:r>
        <w:rPr>
          <w:rFonts w:hint="eastAsia"/>
        </w:rPr>
        <w:t>第二步：点击“法人登录”按钮后跳转至“吉林省统一身份认证平台”，输入该平台账号及密码点击“登录”按钮，跳转至“</w:t>
      </w:r>
      <w:r>
        <w:t>吉林省工程建设项目招标代理机构管理服务信息系统</w:t>
      </w:r>
      <w:r>
        <w:rPr>
          <w:rFonts w:hint="eastAsia"/>
        </w:rPr>
        <w:t>”首页。如下图2-2所示；</w:t>
      </w:r>
      <w:r>
        <w:drawing>
          <wp:inline distT="0" distB="0" distL="0" distR="0">
            <wp:extent cx="5271770" cy="2927350"/>
            <wp:effectExtent l="0" t="0" r="0" b="0"/>
            <wp:docPr id="7133380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38086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F6F71"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楷体" w:hAnsi="楷体" w:eastAsia="楷体" w:cs="宋体"/>
          <w:color w:val="000000"/>
          <w:kern w:val="0"/>
          <w:sz w:val="18"/>
          <w:szCs w:val="18"/>
        </w:rPr>
      </w:pPr>
      <w:r>
        <w:rPr>
          <w:rFonts w:hint="eastAsia" w:ascii="楷体" w:hAnsi="楷体" w:eastAsia="楷体" w:cs="宋体"/>
          <w:color w:val="000000"/>
          <w:kern w:val="0"/>
          <w:sz w:val="18"/>
          <w:szCs w:val="18"/>
          <w:lang w:val="zh-CN"/>
        </w:rPr>
        <w:t>图2-</w:t>
      </w:r>
      <w:r>
        <w:rPr>
          <w:rFonts w:hint="eastAsia" w:ascii="楷体" w:hAnsi="楷体" w:eastAsia="楷体" w:cs="宋体"/>
          <w:color w:val="000000"/>
          <w:kern w:val="0"/>
          <w:sz w:val="18"/>
          <w:szCs w:val="18"/>
        </w:rPr>
        <w:t>2吉林省统一身份认证平台登录页</w:t>
      </w:r>
    </w:p>
    <w:p w14:paraId="0DA3099C">
      <w:pPr>
        <w:pStyle w:val="2"/>
        <w:ind w:firstLine="0" w:firstLineChars="0"/>
      </w:pPr>
      <w:bookmarkStart w:id="6" w:name="_Toc531682948"/>
      <w:bookmarkStart w:id="7" w:name="_Toc32753"/>
      <w:r>
        <w:rPr>
          <w:rFonts w:hint="eastAsia"/>
        </w:rPr>
        <w:t>3、</w:t>
      </w:r>
      <w:bookmarkEnd w:id="6"/>
      <w:r>
        <w:rPr>
          <w:rFonts w:hint="eastAsia"/>
        </w:rPr>
        <w:t>功能详细说明</w:t>
      </w:r>
      <w:bookmarkEnd w:id="7"/>
    </w:p>
    <w:p w14:paraId="42B46B0E">
      <w:pPr>
        <w:tabs>
          <w:tab w:val="left" w:pos="2547"/>
        </w:tabs>
        <w:ind w:firstLine="420"/>
        <w:jc w:val="left"/>
      </w:pPr>
      <w:r>
        <w:rPr>
          <w:rFonts w:hint="eastAsia"/>
        </w:rPr>
        <w:t>这里介绍各个模块的操作说明：</w:t>
      </w:r>
    </w:p>
    <w:p w14:paraId="1E7BD992">
      <w:pPr>
        <w:pStyle w:val="4"/>
        <w:ind w:firstLine="643"/>
      </w:pPr>
      <w:bookmarkStart w:id="8" w:name="_Toc531682949"/>
      <w:bookmarkStart w:id="9" w:name="_Toc30922"/>
      <w:r>
        <w:rPr>
          <w:rFonts w:hint="eastAsia"/>
        </w:rPr>
        <w:t>3</w:t>
      </w:r>
      <w:r>
        <w:t>.1</w:t>
      </w:r>
      <w:r>
        <w:rPr>
          <w:rFonts w:hint="eastAsia"/>
        </w:rPr>
        <w:t>、</w:t>
      </w:r>
      <w:bookmarkEnd w:id="8"/>
      <w:r>
        <w:rPr>
          <w:rFonts w:hint="eastAsia"/>
        </w:rPr>
        <w:t>登记管理</w:t>
      </w:r>
      <w:bookmarkEnd w:id="9"/>
    </w:p>
    <w:p w14:paraId="10567595">
      <w:pPr>
        <w:tabs>
          <w:tab w:val="left" w:pos="2547"/>
        </w:tabs>
        <w:ind w:firstLine="420"/>
        <w:jc w:val="left"/>
      </w:pPr>
      <w:r>
        <w:rPr>
          <w:rFonts w:hint="eastAsia"/>
        </w:rPr>
        <w:t>该模块主要是代理机构信息登记、从业人员信息登记及从业人员调离功能。</w:t>
      </w:r>
    </w:p>
    <w:p w14:paraId="5FE989CD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点击左侧导航【</w:t>
      </w:r>
      <w:r>
        <w:rPr>
          <w:rFonts w:hint="eastAsia"/>
          <w:color w:val="0000FF"/>
        </w:rPr>
        <w:t>登记管理</w:t>
      </w:r>
      <w:r>
        <w:rPr>
          <w:rFonts w:hint="eastAsia"/>
        </w:rPr>
        <w:t>】，进入登记管理功能页面。如下图3-1所示：</w:t>
      </w:r>
    </w:p>
    <w:p w14:paraId="1D5871EA">
      <w:pPr>
        <w:tabs>
          <w:tab w:val="left" w:pos="2547"/>
        </w:tabs>
        <w:ind w:firstLine="0" w:firstLineChars="0"/>
        <w:jc w:val="left"/>
      </w:pPr>
    </w:p>
    <w:p w14:paraId="3F837950">
      <w:pPr>
        <w:tabs>
          <w:tab w:val="left" w:pos="2547"/>
        </w:tabs>
        <w:ind w:firstLine="0" w:firstLineChars="0"/>
        <w:jc w:val="left"/>
      </w:pPr>
      <w:r>
        <w:drawing>
          <wp:inline distT="0" distB="0" distL="0" distR="0">
            <wp:extent cx="5278120" cy="1210310"/>
            <wp:effectExtent l="0" t="0" r="0" b="0"/>
            <wp:docPr id="2143669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6919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b="310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106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6DBD2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 登记管理主页面</w:t>
      </w:r>
    </w:p>
    <w:p w14:paraId="38FC01DF">
      <w:pPr>
        <w:pStyle w:val="5"/>
        <w:ind w:firstLine="562"/>
      </w:pPr>
      <w:r>
        <w:rPr>
          <w:rFonts w:hint="eastAsia"/>
        </w:rPr>
        <w:t>3.1.1、代理机构信息登记</w:t>
      </w:r>
    </w:p>
    <w:p w14:paraId="36E0A825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代理机构信息登记</w:t>
      </w:r>
      <w:r>
        <w:rPr>
          <w:rFonts w:hint="eastAsia"/>
        </w:rPr>
        <w:t>】。如下图3-1-1所示：</w:t>
      </w:r>
    </w:p>
    <w:p w14:paraId="639F6F00">
      <w:pPr>
        <w:ind w:firstLine="0" w:firstLineChars="0"/>
      </w:pPr>
    </w:p>
    <w:p w14:paraId="44FD8D2D">
      <w:pPr>
        <w:ind w:firstLine="0" w:firstLineChars="0"/>
      </w:pPr>
      <w:r>
        <w:drawing>
          <wp:inline distT="0" distB="0" distL="0" distR="0">
            <wp:extent cx="5278120" cy="1123315"/>
            <wp:effectExtent l="0" t="0" r="0" b="0"/>
            <wp:docPr id="171023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359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b="112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238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251DA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-1-1 代理机构信息登记导航</w:t>
      </w:r>
    </w:p>
    <w:p w14:paraId="77A8AE70">
      <w:pPr>
        <w:tabs>
          <w:tab w:val="left" w:pos="2547"/>
        </w:tabs>
        <w:ind w:firstLine="420"/>
        <w:jc w:val="left"/>
      </w:pPr>
      <w:bookmarkStart w:id="10" w:name="OLE_LINK1"/>
      <w:r>
        <w:rPr>
          <w:rFonts w:hint="eastAsia"/>
        </w:rPr>
        <w:t>进入代理机构信息登记详情页面。如下图3-1-2所示：</w:t>
      </w:r>
      <w:bookmarkEnd w:id="10"/>
    </w:p>
    <w:p w14:paraId="060BD3B2">
      <w:pPr>
        <w:ind w:firstLine="0" w:firstLineChars="0"/>
        <w:jc w:val="center"/>
      </w:pPr>
      <w:r>
        <w:drawing>
          <wp:inline distT="0" distB="0" distL="0" distR="0">
            <wp:extent cx="5278120" cy="2444750"/>
            <wp:effectExtent l="0" t="0" r="0" b="0"/>
            <wp:docPr id="39261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126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6DAF">
      <w:pPr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8120" cy="3066415"/>
            <wp:effectExtent l="0" t="0" r="0" b="0"/>
            <wp:docPr id="984446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461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D7F7">
      <w:pPr>
        <w:ind w:firstLine="0" w:firstLineChars="0"/>
        <w:jc w:val="center"/>
        <w:rPr>
          <w:rFonts w:hint="eastAsia" w:ascii="楷体" w:hAnsi="楷体" w:eastAsia="楷体"/>
        </w:rPr>
      </w:pPr>
      <w:bookmarkStart w:id="11" w:name="OLE_LINK2"/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-1-2 代理机构信息登记详情表单</w:t>
      </w:r>
      <w:bookmarkEnd w:id="11"/>
    </w:p>
    <w:p w14:paraId="3C550382">
      <w:pPr>
        <w:ind w:firstLine="420"/>
      </w:pPr>
      <w:r>
        <w:rPr>
          <w:rFonts w:hint="eastAsia"/>
        </w:rPr>
        <w:t>填写详情信息并上传附件，点击“</w:t>
      </w:r>
      <w:r>
        <w:rPr>
          <w:rFonts w:hint="eastAsia"/>
          <w:color w:val="0000FF"/>
        </w:rPr>
        <w:t>保存</w:t>
      </w:r>
      <w:r>
        <w:rPr>
          <w:rFonts w:hint="eastAsia"/>
        </w:rPr>
        <w:t>”按钮，信息确认无误后，点击“</w:t>
      </w:r>
      <w:r>
        <w:rPr>
          <w:rFonts w:hint="eastAsia"/>
          <w:color w:val="0000FF"/>
        </w:rPr>
        <w:t>上报</w:t>
      </w:r>
      <w:r>
        <w:rPr>
          <w:rFonts w:hint="eastAsia"/>
        </w:rPr>
        <w:t>”按钮。如下图3-1-3所示：</w:t>
      </w:r>
    </w:p>
    <w:p w14:paraId="247477D5">
      <w:pPr>
        <w:ind w:firstLine="0" w:firstLineChars="0"/>
      </w:pPr>
      <w:r>
        <w:drawing>
          <wp:inline distT="0" distB="0" distL="0" distR="0">
            <wp:extent cx="5278120" cy="2446020"/>
            <wp:effectExtent l="0" t="0" r="0" b="0"/>
            <wp:docPr id="1025785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8593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E58C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-1-3 保存、上报按钮</w:t>
      </w:r>
    </w:p>
    <w:p w14:paraId="7FE3E40D">
      <w:pPr>
        <w:ind w:firstLine="420"/>
      </w:pPr>
      <w:r>
        <w:rPr>
          <w:rFonts w:hint="eastAsia"/>
        </w:rPr>
        <w:t>信息上报成功后由相应的地市主管部门进行审核。</w:t>
      </w:r>
    </w:p>
    <w:p w14:paraId="64B0CFC4">
      <w:pPr>
        <w:ind w:firstLine="420"/>
      </w:pPr>
      <w:r>
        <w:rPr>
          <w:rFonts w:hint="eastAsia"/>
          <w:lang w:val="zh-CN"/>
        </w:rPr>
        <w:t>点击</w:t>
      </w:r>
      <w:r>
        <w:rPr>
          <w:rFonts w:hint="eastAsia"/>
        </w:rPr>
        <w:t>左上方</w:t>
      </w:r>
      <w:r>
        <w:rPr>
          <w:rFonts w:hint="eastAsia"/>
          <w:color w:val="0000FF"/>
        </w:rPr>
        <w:t>“关闭”</w:t>
      </w:r>
      <w:r>
        <w:rPr>
          <w:rFonts w:hint="eastAsia"/>
        </w:rPr>
        <w:t>按钮，退出当前页，返回列表。如下图3-1-4所示：</w:t>
      </w:r>
    </w:p>
    <w:p w14:paraId="6E1F7495">
      <w:pPr>
        <w:ind w:firstLine="0" w:firstLineChars="0"/>
      </w:pPr>
    </w:p>
    <w:p w14:paraId="358AD84F">
      <w:pPr>
        <w:ind w:firstLine="0" w:firstLineChars="0"/>
      </w:pPr>
      <w:r>
        <w:drawing>
          <wp:inline distT="0" distB="0" distL="0" distR="0">
            <wp:extent cx="5278120" cy="1919605"/>
            <wp:effectExtent l="0" t="0" r="0" b="0"/>
            <wp:docPr id="620791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79149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b="216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97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64ED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-1-4 关闭按钮</w:t>
      </w:r>
    </w:p>
    <w:p w14:paraId="6DD4A80B">
      <w:pPr>
        <w:ind w:firstLine="420"/>
      </w:pPr>
      <w:r>
        <w:rPr>
          <w:rFonts w:hint="eastAsia"/>
          <w:lang w:val="zh-CN"/>
        </w:rPr>
        <w:t>点击</w:t>
      </w:r>
      <w:r>
        <w:rPr>
          <w:rFonts w:hint="eastAsia"/>
        </w:rPr>
        <w:t>左上方</w:t>
      </w:r>
      <w:r>
        <w:rPr>
          <w:rFonts w:hint="eastAsia"/>
          <w:color w:val="0000FF"/>
        </w:rPr>
        <w:t>“查看审核意见”</w:t>
      </w:r>
      <w:r>
        <w:rPr>
          <w:rFonts w:hint="eastAsia"/>
        </w:rPr>
        <w:t>按钮，进入到审核意见详情页面。如下图3-1-5所示：</w:t>
      </w:r>
    </w:p>
    <w:p w14:paraId="7C01ACC2">
      <w:pPr>
        <w:ind w:firstLine="0" w:firstLineChars="0"/>
      </w:pPr>
      <w:r>
        <w:drawing>
          <wp:inline distT="0" distB="0" distL="0" distR="0">
            <wp:extent cx="5278120" cy="2139950"/>
            <wp:effectExtent l="0" t="0" r="0" b="0"/>
            <wp:docPr id="925637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3717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b="90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99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D8E5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-1-5查看审核意见按钮</w:t>
      </w:r>
    </w:p>
    <w:p w14:paraId="5BD49A43">
      <w:pPr>
        <w:widowControl/>
        <w:wordWrap w:val="0"/>
        <w:ind w:firstLine="420"/>
        <w:jc w:val="left"/>
      </w:pPr>
      <w:r>
        <w:rPr>
          <w:rFonts w:hint="eastAsia"/>
          <w:lang w:val="zh-CN"/>
        </w:rPr>
        <w:t>点击</w:t>
      </w:r>
      <w:r>
        <w:rPr>
          <w:rFonts w:hint="eastAsia"/>
        </w:rPr>
        <w:t>左上方</w:t>
      </w:r>
      <w:r>
        <w:rPr>
          <w:rFonts w:hint="eastAsia"/>
          <w:color w:val="0000FF"/>
        </w:rPr>
        <w:t>“注销”</w:t>
      </w:r>
      <w:r>
        <w:rPr>
          <w:rFonts w:hint="eastAsia"/>
        </w:rPr>
        <w:t>按钮，弹出“</w:t>
      </w:r>
      <w:r>
        <w:t>是否确定注销?</w:t>
      </w:r>
      <w:r>
        <w:rPr>
          <w:rFonts w:hint="eastAsia"/>
        </w:rPr>
        <w:t>”。如下图3-1-6所示：</w:t>
      </w:r>
    </w:p>
    <w:p w14:paraId="3F5B3452">
      <w:pPr>
        <w:widowControl/>
        <w:wordWrap w:val="0"/>
        <w:ind w:firstLine="0" w:firstLineChars="0"/>
        <w:jc w:val="left"/>
      </w:pPr>
      <w:r>
        <w:drawing>
          <wp:inline distT="0" distB="0" distL="0" distR="0">
            <wp:extent cx="5278120" cy="1973580"/>
            <wp:effectExtent l="0" t="0" r="0" b="0"/>
            <wp:docPr id="318134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3451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10F2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-1-6注销弹出框</w:t>
      </w:r>
    </w:p>
    <w:p w14:paraId="7E6A0307">
      <w:pPr>
        <w:ind w:firstLine="420"/>
      </w:pPr>
      <w:r>
        <w:rPr>
          <w:rFonts w:hint="eastAsia"/>
          <w:lang w:val="zh-CN"/>
        </w:rPr>
        <w:t>点击</w:t>
      </w:r>
      <w:r>
        <w:rPr>
          <w:rFonts w:hint="eastAsia"/>
          <w:color w:val="0000FF"/>
        </w:rPr>
        <w:t>“确认”</w:t>
      </w:r>
      <w:r>
        <w:rPr>
          <w:rFonts w:hint="eastAsia"/>
        </w:rPr>
        <w:t>按钮，该企业信息注销；点击</w:t>
      </w:r>
      <w:r>
        <w:rPr>
          <w:rFonts w:hint="eastAsia"/>
          <w:color w:val="0000FF"/>
        </w:rPr>
        <w:t>“取消”</w:t>
      </w:r>
      <w:r>
        <w:rPr>
          <w:rFonts w:hint="eastAsia"/>
        </w:rPr>
        <w:t>按钮，则取消该操作。</w:t>
      </w:r>
    </w:p>
    <w:p w14:paraId="4403320F">
      <w:pPr>
        <w:pStyle w:val="5"/>
        <w:ind w:firstLine="562"/>
      </w:pPr>
      <w:r>
        <w:rPr>
          <w:rFonts w:hint="eastAsia"/>
        </w:rPr>
        <w:t>3.1.2、从业人员信息登记</w:t>
      </w:r>
    </w:p>
    <w:p w14:paraId="49A42F82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从业人员信息登记</w:t>
      </w:r>
      <w:r>
        <w:rPr>
          <w:rFonts w:hint="eastAsia"/>
        </w:rPr>
        <w:t>】。如下图3-1-7所示：</w:t>
      </w:r>
    </w:p>
    <w:p w14:paraId="3ABF61B3">
      <w:pPr>
        <w:ind w:firstLine="0" w:firstLineChars="0"/>
      </w:pPr>
    </w:p>
    <w:p w14:paraId="6943E432">
      <w:pPr>
        <w:ind w:firstLine="0" w:firstLineChars="0"/>
      </w:pPr>
      <w:r>
        <w:drawing>
          <wp:inline distT="0" distB="0" distL="0" distR="0">
            <wp:extent cx="5278120" cy="1447165"/>
            <wp:effectExtent l="0" t="0" r="0" b="0"/>
            <wp:docPr id="17038806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806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D0D7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-1-7 从业人员信息登记导航</w:t>
      </w:r>
    </w:p>
    <w:p w14:paraId="223FA684">
      <w:pPr>
        <w:tabs>
          <w:tab w:val="left" w:pos="2547"/>
        </w:tabs>
        <w:ind w:firstLine="420"/>
        <w:jc w:val="left"/>
      </w:pPr>
      <w:r>
        <w:rPr>
          <w:rFonts w:hint="eastAsia"/>
        </w:rPr>
        <w:t>进入从业人员信息登记通用列表。如下图3-1-8所示：</w:t>
      </w:r>
    </w:p>
    <w:p w14:paraId="7EE3EAB2">
      <w:pPr>
        <w:ind w:firstLine="0" w:firstLineChars="0"/>
        <w:jc w:val="center"/>
      </w:pPr>
    </w:p>
    <w:p w14:paraId="2F2DAABA">
      <w:pPr>
        <w:ind w:firstLine="0" w:firstLineChars="0"/>
        <w:jc w:val="center"/>
      </w:pPr>
      <w:r>
        <w:drawing>
          <wp:inline distT="0" distB="0" distL="0" distR="0">
            <wp:extent cx="5278120" cy="1388110"/>
            <wp:effectExtent l="0" t="0" r="0" b="0"/>
            <wp:docPr id="17696678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6781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b="153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83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9937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-1-8 从业人员信息登记通用列表</w:t>
      </w:r>
    </w:p>
    <w:p w14:paraId="539591D8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点击左上角“</w:t>
      </w:r>
      <w:r>
        <w:rPr>
          <w:rFonts w:hint="eastAsia"/>
          <w:color w:val="0000FF"/>
        </w:rPr>
        <w:t>添加</w:t>
      </w:r>
      <w:r>
        <w:rPr>
          <w:rFonts w:hint="eastAsia"/>
        </w:rPr>
        <w:t>”按钮，进入从业人员信息登记详情页面。如下图3-1-9所示：</w:t>
      </w:r>
    </w:p>
    <w:p w14:paraId="1EACCF1C">
      <w:pPr>
        <w:ind w:firstLine="0" w:firstLineChars="0"/>
        <w:jc w:val="center"/>
        <w:rPr>
          <w:rFonts w:hint="eastAsia" w:ascii="楷体" w:hAnsi="楷体" w:eastAsia="楷体"/>
        </w:rPr>
      </w:pPr>
    </w:p>
    <w:p w14:paraId="42A73378">
      <w:pPr>
        <w:ind w:firstLine="0" w:firstLineChars="0"/>
        <w:jc w:val="center"/>
        <w:rPr>
          <w:rFonts w:hint="eastAsia" w:ascii="楷体" w:hAnsi="楷体" w:eastAsia="楷体"/>
        </w:rPr>
      </w:pPr>
      <w:r>
        <w:drawing>
          <wp:inline distT="0" distB="0" distL="0" distR="0">
            <wp:extent cx="5278120" cy="1360805"/>
            <wp:effectExtent l="0" t="0" r="0" b="0"/>
            <wp:docPr id="300546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4638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1E63">
      <w:pPr>
        <w:ind w:firstLine="0" w:firstLineChars="0"/>
        <w:jc w:val="center"/>
        <w:rPr>
          <w:rFonts w:ascii="楷体" w:hAnsi="楷体" w:eastAsia="楷体"/>
        </w:rPr>
      </w:pPr>
      <w:r>
        <w:drawing>
          <wp:inline distT="0" distB="0" distL="114300" distR="114300">
            <wp:extent cx="5273040" cy="1501140"/>
            <wp:effectExtent l="0" t="0" r="3810" b="381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F485">
      <w:pPr>
        <w:ind w:firstLine="0" w:firstLineChars="0"/>
        <w:jc w:val="center"/>
        <w:rPr>
          <w:rFonts w:hint="eastAsia" w:ascii="楷体" w:hAnsi="楷体" w:eastAsia="楷体"/>
        </w:rPr>
      </w:pPr>
      <w:r>
        <w:drawing>
          <wp:inline distT="0" distB="0" distL="0" distR="0">
            <wp:extent cx="5278120" cy="1699260"/>
            <wp:effectExtent l="0" t="0" r="0" b="0"/>
            <wp:docPr id="701995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9560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rcRect t="237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996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-1-9 从业人员信息登记详情表单</w:t>
      </w:r>
    </w:p>
    <w:p w14:paraId="6E995F1E">
      <w:pPr>
        <w:ind w:firstLine="422"/>
        <w:rPr>
          <w:b/>
          <w:bCs/>
        </w:rPr>
      </w:pPr>
      <w:r>
        <w:rPr>
          <w:rFonts w:hint="eastAsia"/>
          <w:b/>
          <w:bCs/>
        </w:rPr>
        <w:t>填写详情信息并上传附件，点击“</w:t>
      </w:r>
      <w:r>
        <w:rPr>
          <w:rFonts w:hint="eastAsia"/>
          <w:b/>
          <w:bCs/>
          <w:color w:val="0000FF"/>
        </w:rPr>
        <w:t>保存</w:t>
      </w:r>
      <w:r>
        <w:rPr>
          <w:rFonts w:hint="eastAsia"/>
          <w:b/>
          <w:bCs/>
        </w:rPr>
        <w:t>”按钮后，数据会推送到个人端，由个人进行确认。</w:t>
      </w:r>
    </w:p>
    <w:p w14:paraId="0CE2E2B6">
      <w:pPr>
        <w:ind w:firstLine="420"/>
      </w:pPr>
      <w:r>
        <w:rPr>
          <w:rFonts w:hint="eastAsia"/>
        </w:rPr>
        <w:t>个人点击“</w:t>
      </w:r>
      <w:r>
        <w:rPr>
          <w:rFonts w:hint="eastAsia"/>
          <w:color w:val="0000FF"/>
        </w:rPr>
        <w:t>确认</w:t>
      </w:r>
      <w:r>
        <w:rPr>
          <w:rFonts w:hint="eastAsia"/>
        </w:rPr>
        <w:t>”后，企业才可以进行上报操作。</w:t>
      </w:r>
    </w:p>
    <w:p w14:paraId="7720074D">
      <w:pPr>
        <w:ind w:firstLine="420"/>
      </w:pPr>
      <w:r>
        <w:rPr>
          <w:rFonts w:hint="eastAsia"/>
          <w:lang w:val="zh-CN"/>
        </w:rPr>
        <w:t>点击</w:t>
      </w:r>
      <w:r>
        <w:rPr>
          <w:rFonts w:hint="eastAsia"/>
        </w:rPr>
        <w:t>左上方</w:t>
      </w:r>
      <w:r>
        <w:rPr>
          <w:rFonts w:hint="eastAsia"/>
          <w:color w:val="0000FF"/>
        </w:rPr>
        <w:t>“关闭”</w:t>
      </w:r>
      <w:r>
        <w:rPr>
          <w:rFonts w:hint="eastAsia"/>
        </w:rPr>
        <w:t>按钮，退出当前页，返回列表。如下图3-1-10所示：</w:t>
      </w:r>
    </w:p>
    <w:p w14:paraId="22C5151A">
      <w:pPr>
        <w:ind w:firstLine="0" w:firstLineChars="0"/>
      </w:pPr>
      <w:r>
        <w:drawing>
          <wp:inline distT="0" distB="0" distL="114300" distR="114300">
            <wp:extent cx="5266690" cy="1788160"/>
            <wp:effectExtent l="0" t="0" r="0" b="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rcRect t="135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514C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图3-1-10 关闭按钮</w:t>
      </w:r>
    </w:p>
    <w:p w14:paraId="6286BC0E">
      <w:pPr>
        <w:ind w:firstLine="420"/>
      </w:pPr>
      <w:r>
        <w:rPr>
          <w:rFonts w:hint="eastAsia"/>
        </w:rPr>
        <w:t>列表操作按钮：如下图所示：</w:t>
      </w:r>
    </w:p>
    <w:p w14:paraId="65E95135">
      <w:pPr>
        <w:ind w:firstLine="420"/>
      </w:pPr>
      <w:r>
        <w:rPr>
          <w:rFonts w:hint="eastAsia"/>
        </w:rPr>
        <w:t>查看：点击“</w:t>
      </w:r>
      <w:r>
        <w:rPr>
          <w:rFonts w:hint="eastAsia"/>
          <w:color w:val="0000FF"/>
        </w:rPr>
        <w:t>查看</w:t>
      </w:r>
      <w:r>
        <w:rPr>
          <w:rFonts w:hint="eastAsia"/>
        </w:rPr>
        <w:t>”按钮，可以进入详情表单查看详情信息；</w:t>
      </w:r>
    </w:p>
    <w:p w14:paraId="42DD3C37">
      <w:pPr>
        <w:ind w:firstLine="420"/>
      </w:pPr>
      <w:r>
        <w:rPr>
          <w:rFonts w:hint="eastAsia"/>
        </w:rPr>
        <w:t>修改：点击“</w:t>
      </w:r>
      <w:r>
        <w:rPr>
          <w:rFonts w:hint="eastAsia"/>
          <w:color w:val="0000FF"/>
        </w:rPr>
        <w:t>修改</w:t>
      </w:r>
      <w:r>
        <w:rPr>
          <w:rFonts w:hint="eastAsia"/>
        </w:rPr>
        <w:t>”按钮，可以进入详情表单修改详情信息，只有在个人确认之前才可以进行修改，确认后，无法修改；</w:t>
      </w:r>
    </w:p>
    <w:p w14:paraId="3C5BDB47">
      <w:pPr>
        <w:ind w:firstLine="420"/>
      </w:pPr>
      <w:r>
        <w:rPr>
          <w:rFonts w:hint="eastAsia"/>
        </w:rPr>
        <w:t>删除：点击“</w:t>
      </w:r>
      <w:r>
        <w:rPr>
          <w:rFonts w:hint="eastAsia"/>
          <w:color w:val="0000FF"/>
        </w:rPr>
        <w:t>删除</w:t>
      </w:r>
      <w:r>
        <w:rPr>
          <w:rFonts w:hint="eastAsia"/>
        </w:rPr>
        <w:t>”按钮，删除本条数据信息；</w:t>
      </w:r>
    </w:p>
    <w:p w14:paraId="2AF80FB5">
      <w:pPr>
        <w:ind w:firstLine="420"/>
      </w:pPr>
      <w:r>
        <w:rPr>
          <w:rFonts w:hint="eastAsia"/>
        </w:rPr>
        <w:t>上报：点击“</w:t>
      </w:r>
      <w:r>
        <w:rPr>
          <w:rFonts w:hint="eastAsia"/>
          <w:color w:val="0000FF"/>
        </w:rPr>
        <w:t>上报</w:t>
      </w:r>
      <w:r>
        <w:rPr>
          <w:rFonts w:hint="eastAsia"/>
        </w:rPr>
        <w:t>”按钮，只有在个人确认之后才可以进行上报，确认前，无法上报；</w:t>
      </w:r>
    </w:p>
    <w:p w14:paraId="097F4F3A">
      <w:pPr>
        <w:ind w:firstLine="420"/>
      </w:pPr>
      <w:r>
        <w:rPr>
          <w:rFonts w:hint="eastAsia"/>
        </w:rPr>
        <w:t>查看审核意见：点击“</w:t>
      </w:r>
      <w:r>
        <w:rPr>
          <w:rFonts w:hint="eastAsia"/>
          <w:color w:val="0000FF"/>
        </w:rPr>
        <w:t>查看审核意见</w:t>
      </w:r>
      <w:r>
        <w:rPr>
          <w:rFonts w:hint="eastAsia"/>
        </w:rPr>
        <w:t>”按钮，可以查看本条数据信息的审核意见信息。</w:t>
      </w:r>
    </w:p>
    <w:p w14:paraId="740F0795">
      <w:pPr>
        <w:ind w:firstLine="0" w:firstLineChars="0"/>
      </w:pPr>
      <w:r>
        <w:drawing>
          <wp:inline distT="0" distB="0" distL="0" distR="0">
            <wp:extent cx="5278120" cy="1537335"/>
            <wp:effectExtent l="0" t="0" r="0" b="0"/>
            <wp:docPr id="1859923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23336" name="图片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E313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列表操作按钮</w:t>
      </w:r>
    </w:p>
    <w:p w14:paraId="26EE4B29">
      <w:pPr>
        <w:pStyle w:val="5"/>
        <w:ind w:firstLine="562"/>
      </w:pPr>
      <w:bookmarkStart w:id="12" w:name="_Toc531682954"/>
      <w:r>
        <w:rPr>
          <w:rFonts w:hint="eastAsia"/>
        </w:rPr>
        <w:t>3.1.3、从业人员信息调离</w:t>
      </w:r>
    </w:p>
    <w:p w14:paraId="1EC63618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从业人员信息调离</w:t>
      </w:r>
      <w:r>
        <w:rPr>
          <w:rFonts w:hint="eastAsia"/>
        </w:rPr>
        <w:t>】。如下图3-1-11所示：</w:t>
      </w:r>
    </w:p>
    <w:p w14:paraId="3515F429">
      <w:pPr>
        <w:ind w:firstLine="0" w:firstLineChars="0"/>
      </w:pPr>
    </w:p>
    <w:p w14:paraId="33889871">
      <w:pPr>
        <w:ind w:firstLine="0" w:firstLineChars="0"/>
      </w:pPr>
      <w:r>
        <w:drawing>
          <wp:inline distT="0" distB="0" distL="0" distR="0">
            <wp:extent cx="5278120" cy="1435735"/>
            <wp:effectExtent l="0" t="0" r="0" b="0"/>
            <wp:docPr id="1125887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8748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9943" cy="143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A0A3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-1-11 从业人员信息调离导航</w:t>
      </w:r>
    </w:p>
    <w:p w14:paraId="4E69D606">
      <w:pPr>
        <w:ind w:firstLine="0" w:firstLineChars="0"/>
        <w:jc w:val="center"/>
        <w:rPr>
          <w:rFonts w:hint="eastAsia" w:ascii="楷体" w:hAnsi="楷体" w:eastAsia="楷体"/>
        </w:rPr>
      </w:pPr>
    </w:p>
    <w:p w14:paraId="31D35B97">
      <w:pPr>
        <w:tabs>
          <w:tab w:val="left" w:pos="2547"/>
        </w:tabs>
        <w:ind w:firstLine="420"/>
        <w:jc w:val="left"/>
      </w:pPr>
      <w:r>
        <w:rPr>
          <w:rFonts w:hint="eastAsia"/>
        </w:rPr>
        <w:t>进入从业人员信息调离通用列表。如下图3-1-12所示：</w:t>
      </w:r>
    </w:p>
    <w:p w14:paraId="08978AAA">
      <w:pPr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278120" cy="1430020"/>
            <wp:effectExtent l="0" t="0" r="0" b="0"/>
            <wp:docPr id="16126055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05526" name="图片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8398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-1-8 从业人员信息调离通用列表</w:t>
      </w:r>
    </w:p>
    <w:p w14:paraId="17BF3FDA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点击操作栏中“</w:t>
      </w:r>
      <w:r>
        <w:rPr>
          <w:rFonts w:hint="eastAsia"/>
          <w:color w:val="0000FF"/>
        </w:rPr>
        <w:t>调离</w:t>
      </w:r>
      <w:r>
        <w:rPr>
          <w:rFonts w:hint="eastAsia"/>
        </w:rPr>
        <w:t>”按钮，弹出提示信息。如下图3-1-13所示：</w:t>
      </w:r>
    </w:p>
    <w:p w14:paraId="1F015BAC">
      <w:pPr>
        <w:ind w:firstLine="0" w:firstLineChars="0"/>
        <w:jc w:val="center"/>
        <w:rPr>
          <w:rFonts w:hint="eastAsia" w:ascii="楷体" w:hAnsi="楷体" w:eastAsia="楷体"/>
        </w:rPr>
      </w:pPr>
      <w:r>
        <w:drawing>
          <wp:inline distT="0" distB="0" distL="114300" distR="114300">
            <wp:extent cx="5266690" cy="1583690"/>
            <wp:effectExtent l="0" t="0" r="0" b="0"/>
            <wp:docPr id="9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rcRect t="138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A849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-1-13 调离提示信息</w:t>
      </w:r>
    </w:p>
    <w:p w14:paraId="7012A0FA">
      <w:pPr>
        <w:ind w:firstLine="420"/>
      </w:pPr>
      <w:r>
        <w:rPr>
          <w:rFonts w:hint="eastAsia"/>
        </w:rPr>
        <w:t>点击“</w:t>
      </w:r>
      <w:r>
        <w:rPr>
          <w:rFonts w:hint="eastAsia"/>
          <w:color w:val="0000FF"/>
        </w:rPr>
        <w:t>确认</w:t>
      </w:r>
      <w:r>
        <w:rPr>
          <w:rFonts w:hint="eastAsia"/>
        </w:rPr>
        <w:t>”按钮，该人员调离成功，且数据推送到管理端；点击“</w:t>
      </w:r>
      <w:r>
        <w:rPr>
          <w:rFonts w:hint="eastAsia"/>
          <w:color w:val="0000FF"/>
        </w:rPr>
        <w:t>取消</w:t>
      </w:r>
      <w:r>
        <w:rPr>
          <w:rFonts w:hint="eastAsia"/>
        </w:rPr>
        <w:t>”按钮，则取消调离操作。</w:t>
      </w:r>
    </w:p>
    <w:p w14:paraId="15B69A53">
      <w:pPr>
        <w:pStyle w:val="4"/>
        <w:ind w:firstLine="643"/>
      </w:pPr>
      <w:bookmarkStart w:id="13" w:name="_Toc2276"/>
      <w:r>
        <w:rPr>
          <w:rFonts w:hint="eastAsia"/>
        </w:rPr>
        <w:t>3</w:t>
      </w:r>
      <w:r>
        <w:t>.</w:t>
      </w:r>
      <w:r>
        <w:rPr>
          <w:rFonts w:hint="eastAsia"/>
        </w:rPr>
        <w:t>2、变更登记</w:t>
      </w:r>
      <w:bookmarkEnd w:id="13"/>
    </w:p>
    <w:p w14:paraId="194B0D3D">
      <w:pPr>
        <w:tabs>
          <w:tab w:val="left" w:pos="2547"/>
        </w:tabs>
        <w:ind w:firstLine="420"/>
        <w:jc w:val="left"/>
      </w:pPr>
      <w:r>
        <w:rPr>
          <w:rFonts w:hint="eastAsia"/>
        </w:rPr>
        <w:t>该模块主要是代理机构信息变更、从业人员信息变更功能。</w:t>
      </w:r>
    </w:p>
    <w:p w14:paraId="6F47A1A4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点击左侧导航【</w:t>
      </w:r>
      <w:r>
        <w:rPr>
          <w:rFonts w:hint="eastAsia"/>
          <w:color w:val="0000FF"/>
        </w:rPr>
        <w:t>变更登记</w:t>
      </w:r>
      <w:r>
        <w:rPr>
          <w:rFonts w:hint="eastAsia"/>
        </w:rPr>
        <w:t>】，进入变更登记功能页面。如下图3-2所示：</w:t>
      </w:r>
    </w:p>
    <w:p w14:paraId="2A111188">
      <w:pPr>
        <w:tabs>
          <w:tab w:val="left" w:pos="2547"/>
        </w:tabs>
        <w:ind w:firstLine="0" w:firstLineChars="0"/>
        <w:jc w:val="left"/>
      </w:pPr>
    </w:p>
    <w:p w14:paraId="78CB42E0">
      <w:pPr>
        <w:tabs>
          <w:tab w:val="left" w:pos="2547"/>
        </w:tabs>
        <w:ind w:firstLine="0" w:firstLineChars="0"/>
        <w:jc w:val="left"/>
      </w:pPr>
      <w:r>
        <w:drawing>
          <wp:inline distT="0" distB="0" distL="0" distR="0">
            <wp:extent cx="5278120" cy="1581785"/>
            <wp:effectExtent l="0" t="0" r="0" b="0"/>
            <wp:docPr id="1826045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4503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591B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-2 变更登记主页面</w:t>
      </w:r>
    </w:p>
    <w:p w14:paraId="329964AF">
      <w:pPr>
        <w:pStyle w:val="5"/>
        <w:ind w:firstLine="562"/>
      </w:pPr>
      <w:r>
        <w:rPr>
          <w:rFonts w:hint="eastAsia"/>
        </w:rPr>
        <w:t>3.2.1、代理机构信息变更</w:t>
      </w:r>
    </w:p>
    <w:p w14:paraId="41B85B6D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代理机构信息变更</w:t>
      </w:r>
      <w:r>
        <w:rPr>
          <w:rFonts w:hint="eastAsia"/>
        </w:rPr>
        <w:t>】。如下图3-2-1所示：</w:t>
      </w:r>
    </w:p>
    <w:p w14:paraId="589833DF">
      <w:pPr>
        <w:ind w:firstLine="0" w:firstLineChars="0"/>
      </w:pPr>
      <w:r>
        <w:drawing>
          <wp:inline distT="0" distB="0" distL="0" distR="0">
            <wp:extent cx="5278120" cy="1292225"/>
            <wp:effectExtent l="0" t="0" r="0" b="0"/>
            <wp:docPr id="1964589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8962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D298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-2-1 代理机构信息变更导航</w:t>
      </w:r>
    </w:p>
    <w:p w14:paraId="543DF03A">
      <w:pPr>
        <w:tabs>
          <w:tab w:val="left" w:pos="2547"/>
        </w:tabs>
        <w:ind w:firstLine="420"/>
        <w:jc w:val="left"/>
      </w:pPr>
      <w:r>
        <w:rPr>
          <w:rFonts w:hint="eastAsia"/>
        </w:rPr>
        <w:t>进入代理机构信息变更通用列表。如下图3-2-2所示：</w:t>
      </w:r>
    </w:p>
    <w:p w14:paraId="6735C732">
      <w:pPr>
        <w:ind w:firstLine="0" w:firstLineChars="0"/>
        <w:jc w:val="center"/>
      </w:pPr>
      <w:r>
        <w:drawing>
          <wp:inline distT="0" distB="0" distL="0" distR="0">
            <wp:extent cx="5278120" cy="1483360"/>
            <wp:effectExtent l="0" t="0" r="0" b="0"/>
            <wp:docPr id="430874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74009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B91C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图3-2-2 代理机构信息变更通用列表</w:t>
      </w:r>
    </w:p>
    <w:p w14:paraId="2FF528E3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点击左上角“</w:t>
      </w:r>
      <w:r>
        <w:rPr>
          <w:rFonts w:hint="eastAsia"/>
          <w:color w:val="0000FF"/>
        </w:rPr>
        <w:t>添加</w:t>
      </w:r>
      <w:r>
        <w:rPr>
          <w:rFonts w:hint="eastAsia"/>
        </w:rPr>
        <w:t>”按钮，进入代理机构信息变更详情页面。如下图3-2-3所示：</w:t>
      </w:r>
    </w:p>
    <w:p w14:paraId="6B2E4B67">
      <w:pPr>
        <w:ind w:firstLine="0" w:firstLineChars="0"/>
        <w:jc w:val="center"/>
      </w:pPr>
      <w:r>
        <w:drawing>
          <wp:inline distT="0" distB="0" distL="0" distR="0">
            <wp:extent cx="5278120" cy="1417955"/>
            <wp:effectExtent l="0" t="0" r="0" b="0"/>
            <wp:docPr id="2103386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86713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9E6F">
      <w:pPr>
        <w:ind w:firstLine="0" w:firstLineChars="0"/>
        <w:jc w:val="center"/>
      </w:pPr>
      <w:r>
        <w:drawing>
          <wp:inline distT="0" distB="0" distL="114300" distR="114300">
            <wp:extent cx="5266690" cy="1442720"/>
            <wp:effectExtent l="0" t="0" r="10160" b="5080"/>
            <wp:docPr id="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6FEA">
      <w:pPr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8120" cy="1213485"/>
            <wp:effectExtent l="0" t="0" r="0" b="0"/>
            <wp:docPr id="806268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68790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F771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-2-3 代理机构信息变更详情表单</w:t>
      </w:r>
    </w:p>
    <w:p w14:paraId="084A9234">
      <w:pPr>
        <w:ind w:firstLine="420"/>
      </w:pPr>
      <w:r>
        <w:rPr>
          <w:rFonts w:hint="eastAsia"/>
        </w:rPr>
        <w:t>填写详情信息并上传附件，点击“</w:t>
      </w:r>
      <w:r>
        <w:rPr>
          <w:rFonts w:hint="eastAsia"/>
          <w:color w:val="0000FF"/>
        </w:rPr>
        <w:t>保存</w:t>
      </w:r>
      <w:r>
        <w:rPr>
          <w:rFonts w:hint="eastAsia"/>
        </w:rPr>
        <w:t>”按钮，信息确认无误后，点击“</w:t>
      </w:r>
      <w:r>
        <w:rPr>
          <w:rFonts w:hint="eastAsia"/>
          <w:color w:val="0000FF"/>
        </w:rPr>
        <w:t>关闭</w:t>
      </w:r>
      <w:r>
        <w:rPr>
          <w:rFonts w:hint="eastAsia"/>
        </w:rPr>
        <w:t>”按钮，返回通用列表。如下图3-2-4所示：</w:t>
      </w:r>
    </w:p>
    <w:p w14:paraId="2FD79AF3">
      <w:pPr>
        <w:ind w:firstLine="0" w:firstLineChars="0"/>
      </w:pPr>
    </w:p>
    <w:p w14:paraId="4F852399"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8120" cy="1449070"/>
            <wp:effectExtent l="0" t="0" r="0" b="0"/>
            <wp:docPr id="2052110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1006" name="图片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2FBE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图3-2-4 保存、关闭按钮</w:t>
      </w:r>
    </w:p>
    <w:p w14:paraId="6E14998F">
      <w:pPr>
        <w:ind w:firstLine="420"/>
      </w:pPr>
      <w:r>
        <w:rPr>
          <w:rFonts w:hint="eastAsia"/>
        </w:rPr>
        <w:t>列表操作按钮：如下图所示：</w:t>
      </w:r>
    </w:p>
    <w:p w14:paraId="275407CD">
      <w:pPr>
        <w:ind w:firstLine="420"/>
      </w:pPr>
      <w:r>
        <w:rPr>
          <w:rFonts w:hint="eastAsia"/>
        </w:rPr>
        <w:t>查看：点击“</w:t>
      </w:r>
      <w:r>
        <w:rPr>
          <w:rFonts w:hint="eastAsia"/>
          <w:color w:val="0000FF"/>
        </w:rPr>
        <w:t>查看</w:t>
      </w:r>
      <w:r>
        <w:rPr>
          <w:rFonts w:hint="eastAsia"/>
        </w:rPr>
        <w:t>”按钮，可以进入详情表单查看详情信息；</w:t>
      </w:r>
    </w:p>
    <w:p w14:paraId="5DBBF8E5">
      <w:pPr>
        <w:ind w:firstLine="420"/>
      </w:pPr>
      <w:r>
        <w:rPr>
          <w:rFonts w:hint="eastAsia"/>
        </w:rPr>
        <w:t>修改：点击“</w:t>
      </w:r>
      <w:r>
        <w:rPr>
          <w:rFonts w:hint="eastAsia"/>
          <w:color w:val="0000FF"/>
        </w:rPr>
        <w:t>修改</w:t>
      </w:r>
      <w:r>
        <w:rPr>
          <w:rFonts w:hint="eastAsia"/>
        </w:rPr>
        <w:t>”按钮，可以进入详情表单修改详情信息；</w:t>
      </w:r>
    </w:p>
    <w:p w14:paraId="0F485697">
      <w:pPr>
        <w:ind w:firstLine="420"/>
      </w:pPr>
      <w:r>
        <w:rPr>
          <w:rFonts w:hint="eastAsia"/>
        </w:rPr>
        <w:t>删除：点击“</w:t>
      </w:r>
      <w:r>
        <w:rPr>
          <w:rFonts w:hint="eastAsia"/>
          <w:color w:val="0000FF"/>
        </w:rPr>
        <w:t>删除</w:t>
      </w:r>
      <w:r>
        <w:rPr>
          <w:rFonts w:hint="eastAsia"/>
        </w:rPr>
        <w:t>”按钮，删除本条数据信息；</w:t>
      </w:r>
    </w:p>
    <w:p w14:paraId="652E99D2">
      <w:pPr>
        <w:ind w:firstLine="420"/>
      </w:pPr>
      <w:r>
        <w:rPr>
          <w:rFonts w:hint="eastAsia"/>
        </w:rPr>
        <w:t>上报：点击“</w:t>
      </w:r>
      <w:r>
        <w:rPr>
          <w:rFonts w:hint="eastAsia"/>
          <w:color w:val="0000FF"/>
        </w:rPr>
        <w:t>上报</w:t>
      </w:r>
      <w:r>
        <w:rPr>
          <w:rFonts w:hint="eastAsia"/>
        </w:rPr>
        <w:t>”按钮，可以进行数据上报；</w:t>
      </w:r>
    </w:p>
    <w:p w14:paraId="47D00B9E">
      <w:pPr>
        <w:ind w:firstLine="420"/>
      </w:pPr>
      <w:r>
        <w:rPr>
          <w:rFonts w:hint="eastAsia"/>
        </w:rPr>
        <w:t>查看审核意见：点击“</w:t>
      </w:r>
      <w:r>
        <w:rPr>
          <w:rFonts w:hint="eastAsia"/>
          <w:color w:val="0000FF"/>
        </w:rPr>
        <w:t>查看审核意见</w:t>
      </w:r>
      <w:r>
        <w:rPr>
          <w:rFonts w:hint="eastAsia"/>
        </w:rPr>
        <w:t>”按钮，可以查看本条数据信息的审核意见信息。</w:t>
      </w:r>
    </w:p>
    <w:p w14:paraId="20FD2D02"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8120" cy="1215390"/>
            <wp:effectExtent l="0" t="0" r="0" b="0"/>
            <wp:docPr id="16673332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33251" name="图片 4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D38A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列表操作按钮</w:t>
      </w:r>
    </w:p>
    <w:p w14:paraId="7C2E19FD">
      <w:pPr>
        <w:pStyle w:val="5"/>
        <w:ind w:firstLine="562"/>
      </w:pPr>
      <w:r>
        <w:rPr>
          <w:rFonts w:hint="eastAsia"/>
        </w:rPr>
        <w:t>3.2.2、从业人员信息变更</w:t>
      </w:r>
    </w:p>
    <w:p w14:paraId="0FA7FC58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从业人员信息变更</w:t>
      </w:r>
      <w:r>
        <w:rPr>
          <w:rFonts w:hint="eastAsia"/>
        </w:rPr>
        <w:t>】。如下图3-2-5所示：</w:t>
      </w:r>
    </w:p>
    <w:p w14:paraId="39AD0D34">
      <w:pPr>
        <w:ind w:firstLine="0" w:firstLineChars="0"/>
      </w:pPr>
      <w:r>
        <w:drawing>
          <wp:inline distT="0" distB="0" distL="0" distR="0">
            <wp:extent cx="5278120" cy="1389380"/>
            <wp:effectExtent l="0" t="0" r="0" b="0"/>
            <wp:docPr id="1499843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4366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B56F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-2-5 从业人员信息变更导航</w:t>
      </w:r>
    </w:p>
    <w:p w14:paraId="67301B72">
      <w:pPr>
        <w:tabs>
          <w:tab w:val="left" w:pos="2547"/>
        </w:tabs>
        <w:ind w:firstLine="420"/>
        <w:jc w:val="left"/>
      </w:pPr>
      <w:r>
        <w:rPr>
          <w:rFonts w:hint="eastAsia"/>
        </w:rPr>
        <w:t>进入从业人员信息变更通用列表。如下图3-2-6所示：</w:t>
      </w:r>
    </w:p>
    <w:p w14:paraId="3B99C020">
      <w:pPr>
        <w:ind w:firstLine="0" w:firstLineChars="0"/>
        <w:jc w:val="center"/>
      </w:pPr>
    </w:p>
    <w:p w14:paraId="1D78755A">
      <w:pPr>
        <w:ind w:firstLine="0" w:firstLineChars="0"/>
        <w:jc w:val="center"/>
      </w:pPr>
      <w:r>
        <w:drawing>
          <wp:inline distT="0" distB="0" distL="0" distR="0">
            <wp:extent cx="5278120" cy="1600835"/>
            <wp:effectExtent l="0" t="0" r="0" b="0"/>
            <wp:docPr id="1758035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35662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720E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-2-6 从业人员信息变更通用列表</w:t>
      </w:r>
    </w:p>
    <w:p w14:paraId="1F60422E">
      <w:pPr>
        <w:tabs>
          <w:tab w:val="left" w:pos="2547"/>
        </w:tabs>
        <w:ind w:firstLine="420"/>
        <w:jc w:val="left"/>
      </w:pPr>
      <w:r>
        <w:rPr>
          <w:rFonts w:hint="eastAsia"/>
        </w:rPr>
        <w:t>点击左上角“</w:t>
      </w:r>
      <w:r>
        <w:rPr>
          <w:rFonts w:hint="eastAsia"/>
          <w:color w:val="0000FF"/>
        </w:rPr>
        <w:t>添加</w:t>
      </w:r>
      <w:r>
        <w:rPr>
          <w:rFonts w:hint="eastAsia"/>
        </w:rPr>
        <w:t>”按钮，弹出从业人员信息变更选择框，选中要变更的从业人员，点击“</w:t>
      </w:r>
      <w:r>
        <w:rPr>
          <w:rFonts w:hint="eastAsia"/>
          <w:color w:val="0000FF"/>
        </w:rPr>
        <w:t>确定</w:t>
      </w:r>
      <w:r>
        <w:rPr>
          <w:rFonts w:hint="eastAsia"/>
        </w:rPr>
        <w:t>”按钮。如下图3-2-7所示：</w:t>
      </w:r>
    </w:p>
    <w:p w14:paraId="6648A6D4">
      <w:pPr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278120" cy="2459355"/>
            <wp:effectExtent l="0" t="0" r="0" b="0"/>
            <wp:docPr id="16958853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85385" name="图片 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D0FD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-2-7 从业人员信息变更选择弹出框</w:t>
      </w:r>
    </w:p>
    <w:p w14:paraId="55935BD7">
      <w:pPr>
        <w:ind w:firstLine="420"/>
      </w:pPr>
      <w:r>
        <w:rPr>
          <w:rFonts w:hint="eastAsia"/>
        </w:rPr>
        <w:t>确定后，自动进入到变更详情表单，修改要变更的字段信息，并上传附件，点击“</w:t>
      </w:r>
      <w:r>
        <w:rPr>
          <w:rFonts w:hint="eastAsia"/>
          <w:color w:val="0000FF"/>
        </w:rPr>
        <w:t>保存</w:t>
      </w:r>
      <w:r>
        <w:rPr>
          <w:rFonts w:hint="eastAsia"/>
        </w:rPr>
        <w:t>”按钮后，数据会推送到个人端，由个人进行确认。如下图3-2-8所示：</w:t>
      </w:r>
    </w:p>
    <w:p w14:paraId="1100A2FC">
      <w:pPr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278120" cy="2344420"/>
            <wp:effectExtent l="0" t="0" r="0" b="0"/>
            <wp:docPr id="773521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2170" name="图片 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ADE6">
      <w:pPr>
        <w:ind w:firstLine="0" w:firstLineChars="0"/>
        <w:jc w:val="center"/>
      </w:pPr>
    </w:p>
    <w:p w14:paraId="0D4ABAD2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-2-8 从业人员信息变更详情表单</w:t>
      </w:r>
    </w:p>
    <w:p w14:paraId="06EDB441">
      <w:pPr>
        <w:ind w:firstLine="420"/>
      </w:pPr>
      <w:r>
        <w:rPr>
          <w:rFonts w:hint="eastAsia"/>
        </w:rPr>
        <w:t>个人点击“</w:t>
      </w:r>
      <w:r>
        <w:rPr>
          <w:rFonts w:hint="eastAsia"/>
          <w:color w:val="0000FF"/>
        </w:rPr>
        <w:t>确认</w:t>
      </w:r>
      <w:r>
        <w:rPr>
          <w:rFonts w:hint="eastAsia"/>
        </w:rPr>
        <w:t>”后，企业才可以进行上报操作。</w:t>
      </w:r>
    </w:p>
    <w:p w14:paraId="6828CA4C">
      <w:pPr>
        <w:ind w:firstLine="420"/>
      </w:pPr>
      <w:r>
        <w:rPr>
          <w:rFonts w:hint="eastAsia"/>
          <w:lang w:val="zh-CN"/>
        </w:rPr>
        <w:t>点击</w:t>
      </w:r>
      <w:r>
        <w:rPr>
          <w:rFonts w:hint="eastAsia"/>
        </w:rPr>
        <w:t>左上方</w:t>
      </w:r>
      <w:r>
        <w:rPr>
          <w:rFonts w:hint="eastAsia"/>
          <w:color w:val="0000FF"/>
        </w:rPr>
        <w:t>“关闭”</w:t>
      </w:r>
      <w:r>
        <w:rPr>
          <w:rFonts w:hint="eastAsia"/>
        </w:rPr>
        <w:t>按钮，退出当前页，返回列表。如下图3-2-9所示：</w:t>
      </w:r>
    </w:p>
    <w:p w14:paraId="4151A7EB">
      <w:pPr>
        <w:ind w:firstLine="0" w:firstLineChars="0"/>
      </w:pPr>
      <w:r>
        <w:drawing>
          <wp:inline distT="0" distB="0" distL="0" distR="0">
            <wp:extent cx="5217795" cy="1692910"/>
            <wp:effectExtent l="0" t="0" r="0" b="0"/>
            <wp:docPr id="250279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79625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rcRect l="272" t="283" r="861" b="-283"/>
                    <a:stretch>
                      <a:fillRect/>
                    </a:stretch>
                  </pic:blipFill>
                  <pic:spPr>
                    <a:xfrm>
                      <a:off x="0" y="0"/>
                      <a:ext cx="5218304" cy="1692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46AE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图3-1-10 关闭按钮</w:t>
      </w:r>
    </w:p>
    <w:p w14:paraId="207B3FEE">
      <w:pPr>
        <w:ind w:firstLine="420"/>
      </w:pPr>
      <w:r>
        <w:rPr>
          <w:rFonts w:hint="eastAsia"/>
        </w:rPr>
        <w:t>列表操作按钮：如下图所示：</w:t>
      </w:r>
    </w:p>
    <w:p w14:paraId="33504236">
      <w:pPr>
        <w:ind w:firstLine="420"/>
      </w:pPr>
      <w:r>
        <w:rPr>
          <w:rFonts w:hint="eastAsia"/>
        </w:rPr>
        <w:t>查看：点击“</w:t>
      </w:r>
      <w:r>
        <w:rPr>
          <w:rFonts w:hint="eastAsia"/>
          <w:color w:val="0000FF"/>
        </w:rPr>
        <w:t>查看</w:t>
      </w:r>
      <w:r>
        <w:rPr>
          <w:rFonts w:hint="eastAsia"/>
        </w:rPr>
        <w:t>”按钮，可以进入详情表单查看详情信息；</w:t>
      </w:r>
    </w:p>
    <w:p w14:paraId="2908E6AA">
      <w:pPr>
        <w:ind w:firstLine="420"/>
      </w:pPr>
      <w:r>
        <w:rPr>
          <w:rFonts w:hint="eastAsia"/>
        </w:rPr>
        <w:t>修改：点击“</w:t>
      </w:r>
      <w:r>
        <w:rPr>
          <w:rFonts w:hint="eastAsia"/>
          <w:color w:val="0000FF"/>
        </w:rPr>
        <w:t>修改</w:t>
      </w:r>
      <w:r>
        <w:rPr>
          <w:rFonts w:hint="eastAsia"/>
        </w:rPr>
        <w:t>”按钮，可以进入详情表单修改详情信息，只有在个人确认之前才可以进行修改，确认后，无法修改；</w:t>
      </w:r>
    </w:p>
    <w:p w14:paraId="5585C174">
      <w:pPr>
        <w:ind w:firstLine="420"/>
      </w:pPr>
      <w:r>
        <w:rPr>
          <w:rFonts w:hint="eastAsia"/>
        </w:rPr>
        <w:t>删除：点击“</w:t>
      </w:r>
      <w:r>
        <w:rPr>
          <w:rFonts w:hint="eastAsia"/>
          <w:color w:val="0000FF"/>
        </w:rPr>
        <w:t>删除</w:t>
      </w:r>
      <w:r>
        <w:rPr>
          <w:rFonts w:hint="eastAsia"/>
        </w:rPr>
        <w:t>”按钮，删除本条数据信息；</w:t>
      </w:r>
    </w:p>
    <w:p w14:paraId="075B53BD">
      <w:pPr>
        <w:ind w:firstLine="420"/>
      </w:pPr>
      <w:r>
        <w:rPr>
          <w:rFonts w:hint="eastAsia"/>
        </w:rPr>
        <w:t>上报：点击“</w:t>
      </w:r>
      <w:r>
        <w:rPr>
          <w:rFonts w:hint="eastAsia"/>
          <w:color w:val="0000FF"/>
        </w:rPr>
        <w:t>上报</w:t>
      </w:r>
      <w:r>
        <w:rPr>
          <w:rFonts w:hint="eastAsia"/>
        </w:rPr>
        <w:t>”按钮，只有在个人确认之后才可以进行上报，确认前，无法上报；</w:t>
      </w:r>
    </w:p>
    <w:p w14:paraId="55A82FE8">
      <w:pPr>
        <w:ind w:firstLine="420"/>
      </w:pPr>
      <w:r>
        <w:rPr>
          <w:rFonts w:hint="eastAsia"/>
        </w:rPr>
        <w:t>查看审核意见：点击“</w:t>
      </w:r>
      <w:r>
        <w:rPr>
          <w:rFonts w:hint="eastAsia"/>
          <w:color w:val="0000FF"/>
        </w:rPr>
        <w:t>查看审核意见</w:t>
      </w:r>
      <w:r>
        <w:rPr>
          <w:rFonts w:hint="eastAsia"/>
        </w:rPr>
        <w:t>”按钮，可以查看本条数据信息的审核意见信息。</w:t>
      </w:r>
    </w:p>
    <w:p w14:paraId="40314FD9"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8120" cy="1381125"/>
            <wp:effectExtent l="0" t="0" r="0" b="0"/>
            <wp:docPr id="19567479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47988" name="图片 7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2250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列表操作按钮</w:t>
      </w:r>
    </w:p>
    <w:bookmarkEnd w:id="12"/>
    <w:p w14:paraId="379A0CC9">
      <w:pPr>
        <w:pStyle w:val="4"/>
        <w:ind w:firstLine="643"/>
      </w:pPr>
      <w:bookmarkStart w:id="14" w:name="_Toc22702"/>
      <w:bookmarkStart w:id="15" w:name="_Toc6810"/>
      <w:r>
        <w:rPr>
          <w:rFonts w:hint="eastAsia"/>
        </w:rPr>
        <w:t>3</w:t>
      </w:r>
      <w:r>
        <w:t>.</w:t>
      </w:r>
      <w:r>
        <w:rPr>
          <w:rFonts w:hint="eastAsia"/>
        </w:rPr>
        <w:t>3</w:t>
      </w:r>
      <w:r>
        <w:t>、</w:t>
      </w:r>
      <w:r>
        <w:rPr>
          <w:rFonts w:hint="eastAsia"/>
        </w:rPr>
        <w:t>业绩</w:t>
      </w:r>
      <w:bookmarkEnd w:id="14"/>
      <w:r>
        <w:rPr>
          <w:rFonts w:hint="eastAsia"/>
        </w:rPr>
        <w:t>信息</w:t>
      </w:r>
      <w:bookmarkEnd w:id="15"/>
    </w:p>
    <w:p w14:paraId="2BE95DED">
      <w:pPr>
        <w:ind w:firstLine="420"/>
      </w:pPr>
      <w:r>
        <w:rPr>
          <w:rFonts w:hint="eastAsia"/>
        </w:rPr>
        <w:t>该模块主要是代理机构业绩</w:t>
      </w:r>
      <w:r>
        <w:rPr>
          <w:rFonts w:ascii="Helvetica" w:hAnsi="Helvetica" w:eastAsia="Helvetica" w:cs="Helvetica"/>
          <w:color w:val="303133"/>
          <w:szCs w:val="21"/>
          <w:shd w:val="clear" w:color="auto" w:fill="FFFFFF"/>
        </w:rPr>
        <w:t>查询</w:t>
      </w:r>
      <w:r>
        <w:rPr>
          <w:rFonts w:hint="eastAsia"/>
        </w:rPr>
        <w:t>功能。</w:t>
      </w:r>
    </w:p>
    <w:p w14:paraId="32C51DF2">
      <w:pPr>
        <w:ind w:firstLine="420"/>
      </w:pPr>
      <w:r>
        <w:rPr>
          <w:rFonts w:hint="eastAsia"/>
        </w:rPr>
        <w:t>点击左侧导航【</w:t>
      </w:r>
      <w:r>
        <w:rPr>
          <w:rFonts w:hint="eastAsia"/>
          <w:color w:val="0000FF"/>
        </w:rPr>
        <w:t>业绩信息</w:t>
      </w:r>
      <w:r>
        <w:rPr>
          <w:rFonts w:hint="eastAsia"/>
        </w:rPr>
        <w:t>】，进入代理机构业绩功能页面。如下图</w:t>
      </w:r>
      <w:r>
        <w:t>3</w:t>
      </w:r>
      <w:r>
        <w:rPr>
          <w:rFonts w:hint="eastAsia"/>
        </w:rPr>
        <w:t>-3所示：</w:t>
      </w:r>
    </w:p>
    <w:p w14:paraId="4F1AA661">
      <w:pPr>
        <w:ind w:firstLine="0" w:firstLineChars="0"/>
      </w:pPr>
      <w:r>
        <w:drawing>
          <wp:inline distT="0" distB="0" distL="114300" distR="114300">
            <wp:extent cx="5266690" cy="1243330"/>
            <wp:effectExtent l="0" t="0" r="0" b="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AC6E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-3 代理机构业绩主页面</w:t>
      </w:r>
    </w:p>
    <w:p w14:paraId="267CE5F5">
      <w:pPr>
        <w:pStyle w:val="5"/>
        <w:ind w:firstLine="562"/>
        <w:rPr>
          <w:rFonts w:hint="eastAsia" w:ascii="楷体" w:hAnsi="楷体" w:eastAsia="楷体"/>
        </w:rPr>
      </w:pPr>
      <w:r>
        <w:rPr>
          <w:rFonts w:hint="eastAsia"/>
        </w:rPr>
        <w:t>3.3.1、代理机构业绩查询</w:t>
      </w:r>
    </w:p>
    <w:p w14:paraId="208EB45C">
      <w:pPr>
        <w:ind w:firstLine="420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代理机构业绩查询</w:t>
      </w:r>
      <w:r>
        <w:rPr>
          <w:rFonts w:hint="eastAsia"/>
        </w:rPr>
        <w:t>】。如下图3-3-1所示：</w:t>
      </w:r>
    </w:p>
    <w:p w14:paraId="47486849">
      <w:pPr>
        <w:ind w:firstLine="0" w:firstLineChars="0"/>
      </w:pPr>
      <w:r>
        <w:drawing>
          <wp:inline distT="0" distB="0" distL="0" distR="0">
            <wp:extent cx="5278120" cy="1031240"/>
            <wp:effectExtent l="0" t="0" r="0" b="0"/>
            <wp:docPr id="1194336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36898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C327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-3-1 代理机构业绩查询导航</w:t>
      </w:r>
    </w:p>
    <w:p w14:paraId="13C76053">
      <w:pPr>
        <w:ind w:firstLine="420"/>
      </w:pPr>
      <w:r>
        <w:rPr>
          <w:rFonts w:hint="eastAsia"/>
        </w:rPr>
        <w:t>进入代理机构业绩查询功能主界面。如下图3-3-2所示：</w:t>
      </w:r>
    </w:p>
    <w:p w14:paraId="62C7099F">
      <w:pPr>
        <w:ind w:firstLine="0" w:firstLineChars="0"/>
        <w:jc w:val="center"/>
      </w:pPr>
      <w:r>
        <w:drawing>
          <wp:inline distT="0" distB="0" distL="114300" distR="114300">
            <wp:extent cx="5278120" cy="1467485"/>
            <wp:effectExtent l="0" t="0" r="17780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8FED1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-3-2代理机构业绩查询主页面</w:t>
      </w:r>
    </w:p>
    <w:p w14:paraId="21E45A8A">
      <w:pPr>
        <w:ind w:firstLine="420"/>
      </w:pPr>
      <w:r>
        <w:rPr>
          <w:rFonts w:hint="eastAsia"/>
        </w:rPr>
        <w:t>点击列表右侧操作中</w:t>
      </w:r>
      <w:r>
        <w:rPr>
          <w:rFonts w:hint="eastAsia"/>
          <w:color w:val="0000FF"/>
        </w:rPr>
        <w:t>“查看”</w:t>
      </w:r>
      <w:r>
        <w:rPr>
          <w:rFonts w:hint="eastAsia"/>
        </w:rPr>
        <w:t>按钮，进入到详情页面。如下图3-3-3所示：</w:t>
      </w:r>
    </w:p>
    <w:p w14:paraId="507225F7">
      <w:pPr>
        <w:ind w:firstLine="0" w:firstLineChars="0"/>
      </w:pPr>
      <w:r>
        <w:drawing>
          <wp:inline distT="0" distB="0" distL="114300" distR="114300">
            <wp:extent cx="5274945" cy="1704340"/>
            <wp:effectExtent l="0" t="0" r="1905" b="1016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376680"/>
            <wp:effectExtent l="0" t="0" r="8255" b="1397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59A9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-3-3详情页面</w:t>
      </w:r>
    </w:p>
    <w:p w14:paraId="6EA77591">
      <w:pPr>
        <w:pStyle w:val="4"/>
        <w:ind w:firstLine="643"/>
      </w:pPr>
      <w:bookmarkStart w:id="16" w:name="_Toc18841"/>
      <w:bookmarkStart w:id="17" w:name="_Toc19125"/>
      <w:r>
        <w:rPr>
          <w:rFonts w:hint="eastAsia"/>
        </w:rPr>
        <w:t>3</w:t>
      </w:r>
      <w:r>
        <w:t>.</w:t>
      </w:r>
      <w:r>
        <w:rPr>
          <w:rFonts w:hint="eastAsia"/>
        </w:rPr>
        <w:t>4、行政处罚信息</w:t>
      </w:r>
      <w:bookmarkEnd w:id="16"/>
      <w:bookmarkEnd w:id="17"/>
    </w:p>
    <w:p w14:paraId="29563F54">
      <w:pPr>
        <w:tabs>
          <w:tab w:val="left" w:pos="2547"/>
        </w:tabs>
        <w:ind w:firstLine="420"/>
        <w:jc w:val="left"/>
      </w:pPr>
      <w:r>
        <w:rPr>
          <w:rFonts w:hint="eastAsia"/>
        </w:rPr>
        <w:t>该模块主要是代理机构行政处罚查询和</w:t>
      </w:r>
      <w:r>
        <w:rPr>
          <w:rFonts w:hint="eastAsia" w:ascii="Helvetica" w:hAnsi="Helvetica" w:eastAsia="宋体" w:cs="Helvetica"/>
          <w:color w:val="303133"/>
          <w:szCs w:val="21"/>
          <w:shd w:val="clear" w:color="auto" w:fill="FFFFFF"/>
        </w:rPr>
        <w:t>从业人员行政处罚查询</w:t>
      </w:r>
      <w:r>
        <w:rPr>
          <w:rFonts w:hint="eastAsia"/>
        </w:rPr>
        <w:t>功能</w:t>
      </w:r>
    </w:p>
    <w:p w14:paraId="6CC83289">
      <w:pPr>
        <w:ind w:firstLine="420"/>
      </w:pPr>
      <w:r>
        <w:rPr>
          <w:rFonts w:hint="eastAsia"/>
        </w:rPr>
        <w:t>点击左侧导航【</w:t>
      </w:r>
      <w:r>
        <w:rPr>
          <w:rFonts w:hint="eastAsia"/>
          <w:color w:val="0000FF"/>
        </w:rPr>
        <w:t>行政处罚信息</w:t>
      </w:r>
      <w:r>
        <w:rPr>
          <w:rFonts w:hint="eastAsia"/>
        </w:rPr>
        <w:t>】，进入行政处罚信息导航。如下图</w:t>
      </w:r>
      <w:r>
        <w:t>3</w:t>
      </w:r>
      <w:r>
        <w:rPr>
          <w:rFonts w:hint="eastAsia"/>
        </w:rPr>
        <w:t>-4所示：</w:t>
      </w:r>
    </w:p>
    <w:p w14:paraId="57479460">
      <w:pPr>
        <w:ind w:firstLine="0" w:firstLineChars="0"/>
      </w:pPr>
    </w:p>
    <w:p w14:paraId="37B04CDC">
      <w:pPr>
        <w:ind w:firstLine="0" w:firstLineChars="0"/>
      </w:pPr>
      <w:r>
        <w:drawing>
          <wp:inline distT="0" distB="0" distL="0" distR="0">
            <wp:extent cx="5263515" cy="1406525"/>
            <wp:effectExtent l="0" t="0" r="0" b="0"/>
            <wp:docPr id="190835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5352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rcRect l="272"/>
                    <a:stretch>
                      <a:fillRect/>
                    </a:stretch>
                  </pic:blipFill>
                  <pic:spPr>
                    <a:xfrm>
                      <a:off x="0" y="0"/>
                      <a:ext cx="5263757" cy="1406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40236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-4 行政处罚信息导航</w:t>
      </w:r>
    </w:p>
    <w:p w14:paraId="4AA5BB91">
      <w:pPr>
        <w:pStyle w:val="5"/>
        <w:ind w:firstLine="562"/>
        <w:rPr>
          <w:rFonts w:hint="eastAsia" w:ascii="楷体" w:hAnsi="楷体" w:eastAsia="楷体"/>
        </w:rPr>
      </w:pPr>
      <w:r>
        <w:rPr>
          <w:rFonts w:hint="eastAsia"/>
        </w:rPr>
        <w:t>3.4.1、代理机构行政处罚查询</w:t>
      </w:r>
    </w:p>
    <w:p w14:paraId="53197D85">
      <w:pPr>
        <w:ind w:firstLine="420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代理机构</w:t>
      </w:r>
      <w:r>
        <w:rPr>
          <w:rFonts w:hint="eastAsia" w:ascii="Helvetica" w:hAnsi="Helvetica" w:eastAsia="宋体" w:cs="Helvetica"/>
          <w:color w:val="0000FF"/>
          <w:szCs w:val="21"/>
          <w:shd w:val="clear" w:color="auto" w:fill="FFFFFF"/>
        </w:rPr>
        <w:t>行政处罚查询</w:t>
      </w:r>
      <w:r>
        <w:rPr>
          <w:rFonts w:hint="eastAsia"/>
        </w:rPr>
        <w:t>】。如下图</w:t>
      </w:r>
      <w:r>
        <w:t>3</w:t>
      </w:r>
      <w:r>
        <w:rPr>
          <w:rFonts w:hint="eastAsia"/>
        </w:rPr>
        <w:t>-4-1所示：</w:t>
      </w:r>
    </w:p>
    <w:p w14:paraId="31DBE44F">
      <w:pPr>
        <w:ind w:firstLine="0" w:firstLineChars="0"/>
      </w:pPr>
      <w:r>
        <w:drawing>
          <wp:inline distT="0" distB="0" distL="0" distR="0">
            <wp:extent cx="5278120" cy="1386205"/>
            <wp:effectExtent l="0" t="0" r="0" b="0"/>
            <wp:docPr id="884557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57723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2C43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-4-1 代理机构行政处罚查询导航</w:t>
      </w:r>
    </w:p>
    <w:p w14:paraId="725EDCF4">
      <w:pPr>
        <w:ind w:firstLine="420"/>
      </w:pPr>
      <w:r>
        <w:rPr>
          <w:rFonts w:hint="eastAsia"/>
        </w:rPr>
        <w:t>进入代理机构行政处罚查询功能主界面。如下图3-4-2所示：</w:t>
      </w:r>
    </w:p>
    <w:p w14:paraId="3C4F7BF2">
      <w:pPr>
        <w:ind w:firstLine="0" w:firstLineChars="0"/>
        <w:jc w:val="center"/>
      </w:pPr>
      <w:r>
        <w:drawing>
          <wp:inline distT="0" distB="0" distL="114300" distR="114300">
            <wp:extent cx="5266690" cy="1113155"/>
            <wp:effectExtent l="0" t="0" r="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rcRect t="171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2BDC4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-4-2 行政处罚查询主页面</w:t>
      </w:r>
    </w:p>
    <w:p w14:paraId="1146F3A7">
      <w:pPr>
        <w:ind w:firstLine="420"/>
      </w:pPr>
      <w:r>
        <w:rPr>
          <w:rFonts w:hint="eastAsia"/>
        </w:rPr>
        <w:t>点击列表右侧操作中</w:t>
      </w:r>
      <w:r>
        <w:rPr>
          <w:rFonts w:hint="eastAsia"/>
          <w:color w:val="0000FF"/>
        </w:rPr>
        <w:t>“查看”</w:t>
      </w:r>
      <w:r>
        <w:rPr>
          <w:rFonts w:hint="eastAsia"/>
        </w:rPr>
        <w:t>按钮，进入到详情页面。如下图3-4-3所示：</w:t>
      </w:r>
    </w:p>
    <w:p w14:paraId="69FE1346">
      <w:pPr>
        <w:ind w:firstLine="0" w:firstLineChars="0"/>
      </w:pPr>
      <w:r>
        <w:drawing>
          <wp:inline distT="0" distB="0" distL="114300" distR="114300">
            <wp:extent cx="5266690" cy="763905"/>
            <wp:effectExtent l="0" t="0" r="0" b="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rcRect t="249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341120"/>
            <wp:effectExtent l="0" t="0" r="10160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5AD1">
      <w:pPr>
        <w:ind w:firstLine="0" w:firstLineChars="0"/>
      </w:pPr>
    </w:p>
    <w:p w14:paraId="6746DD77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-4-3 详情页面</w:t>
      </w:r>
    </w:p>
    <w:p w14:paraId="24AAFA65">
      <w:pPr>
        <w:pStyle w:val="5"/>
        <w:ind w:firstLine="562"/>
        <w:rPr>
          <w:rFonts w:hint="eastAsia" w:ascii="楷体" w:hAnsi="楷体" w:eastAsia="楷体"/>
        </w:rPr>
      </w:pPr>
      <w:r>
        <w:rPr>
          <w:rFonts w:hint="eastAsia"/>
        </w:rPr>
        <w:t>3.4.2、从业人员行政处罚查询</w:t>
      </w:r>
    </w:p>
    <w:p w14:paraId="4E54B834">
      <w:pPr>
        <w:ind w:firstLine="420"/>
      </w:pPr>
      <w:r>
        <w:rPr>
          <w:rFonts w:hint="eastAsia"/>
        </w:rPr>
        <w:t>点击导航【</w:t>
      </w:r>
      <w:r>
        <w:rPr>
          <w:rFonts w:hint="eastAsia"/>
          <w:color w:val="0000FF"/>
        </w:rPr>
        <w:t>从业人员</w:t>
      </w:r>
      <w:r>
        <w:rPr>
          <w:rFonts w:hint="eastAsia" w:ascii="Helvetica" w:hAnsi="Helvetica" w:eastAsia="宋体" w:cs="Helvetica"/>
          <w:color w:val="0000FF"/>
          <w:szCs w:val="21"/>
          <w:shd w:val="clear" w:color="auto" w:fill="FFFFFF"/>
        </w:rPr>
        <w:t>行政处罚查询</w:t>
      </w:r>
      <w:r>
        <w:rPr>
          <w:rFonts w:hint="eastAsia"/>
        </w:rPr>
        <w:t>】。如下图</w:t>
      </w:r>
      <w:r>
        <w:t>3</w:t>
      </w:r>
      <w:r>
        <w:rPr>
          <w:rFonts w:hint="eastAsia"/>
        </w:rPr>
        <w:t>-4-4所示：</w:t>
      </w:r>
    </w:p>
    <w:p w14:paraId="3FB46CAC">
      <w:pPr>
        <w:ind w:firstLine="0" w:firstLineChars="0"/>
      </w:pPr>
      <w:r>
        <w:drawing>
          <wp:inline distT="0" distB="0" distL="0" distR="0">
            <wp:extent cx="5278120" cy="1405890"/>
            <wp:effectExtent l="0" t="0" r="0" b="0"/>
            <wp:docPr id="770847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47288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DA3D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-4-4行政处罚查询导航</w:t>
      </w:r>
    </w:p>
    <w:p w14:paraId="627227D5">
      <w:pPr>
        <w:ind w:firstLine="420"/>
      </w:pPr>
      <w:r>
        <w:rPr>
          <w:rFonts w:hint="eastAsia"/>
        </w:rPr>
        <w:t>进入从业人员行政处罚查询功能主界面。如下图3-4-5所示：</w:t>
      </w:r>
    </w:p>
    <w:p w14:paraId="506EEFC5">
      <w:pPr>
        <w:ind w:firstLine="0" w:firstLineChars="0"/>
        <w:jc w:val="center"/>
      </w:pPr>
      <w:r>
        <w:drawing>
          <wp:inline distT="0" distB="0" distL="114300" distR="114300">
            <wp:extent cx="5266690" cy="1036955"/>
            <wp:effectExtent l="0" t="0" r="0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58"/>
                    <a:srcRect t="193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3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126CB">
      <w:pPr>
        <w:ind w:firstLine="0" w:firstLineChars="0"/>
        <w:jc w:val="center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-4-5 行政处罚查询主页面</w:t>
      </w:r>
    </w:p>
    <w:p w14:paraId="206A0580">
      <w:pPr>
        <w:ind w:firstLine="420"/>
      </w:pPr>
      <w:r>
        <w:rPr>
          <w:rFonts w:hint="eastAsia"/>
        </w:rPr>
        <w:t>点击列表右侧操作中</w:t>
      </w:r>
      <w:r>
        <w:rPr>
          <w:rFonts w:hint="eastAsia"/>
          <w:color w:val="0000FF"/>
        </w:rPr>
        <w:t>“查看”</w:t>
      </w:r>
      <w:r>
        <w:rPr>
          <w:rFonts w:hint="eastAsia"/>
        </w:rPr>
        <w:t>按钮，进入到详情页面。如下图3-4-6所示：</w:t>
      </w:r>
    </w:p>
    <w:p w14:paraId="1E61CB7B">
      <w:pPr>
        <w:ind w:firstLine="0" w:firstLineChars="0"/>
      </w:pPr>
      <w:r>
        <w:drawing>
          <wp:inline distT="0" distB="0" distL="114300" distR="114300">
            <wp:extent cx="5266690" cy="1036955"/>
            <wp:effectExtent l="0" t="0" r="0" b="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rcRect t="193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3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7E834">
      <w:pPr>
        <w:ind w:firstLine="0" w:firstLineChars="0"/>
      </w:pPr>
      <w:r>
        <w:drawing>
          <wp:inline distT="0" distB="0" distL="114300" distR="114300">
            <wp:extent cx="5266690" cy="960120"/>
            <wp:effectExtent l="0" t="0" r="10160" b="1143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E76A">
      <w:pPr>
        <w:ind w:firstLine="0" w:firstLineChars="0"/>
        <w:jc w:val="center"/>
      </w:pPr>
      <w:r>
        <w:rPr>
          <w:rFonts w:hint="eastAsia" w:ascii="楷体" w:hAnsi="楷体" w:eastAsia="楷体"/>
        </w:rPr>
        <w:t>图</w:t>
      </w:r>
      <w:r>
        <w:rPr>
          <w:rFonts w:ascii="楷体" w:hAnsi="楷体" w:eastAsia="楷体"/>
        </w:rPr>
        <w:t>3</w:t>
      </w:r>
      <w:r>
        <w:rPr>
          <w:rFonts w:hint="eastAsia" w:ascii="楷体" w:hAnsi="楷体" w:eastAsia="楷体"/>
        </w:rPr>
        <w:t>-4-6 详情页面</w:t>
      </w:r>
    </w:p>
    <w:p w14:paraId="34717CCA">
      <w:pPr>
        <w:ind w:firstLine="420"/>
      </w:pPr>
    </w:p>
    <w:sectPr>
      <w:footerReference r:id="rId11" w:type="default"/>
      <w:pgSz w:w="11906" w:h="16838"/>
      <w:pgMar w:top="1440" w:right="1797" w:bottom="1440" w:left="1797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国标宋体-超大字符集扩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国标宋体-超大字符集扩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Nimbus Roman No9 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altName w:val="Nimbus Roman No9 L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Tahoma">
    <w:altName w:val="noto sans thai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noto sans thai">
    <w:panose1 w:val="020B0502040504020204"/>
    <w:charset w:val="00"/>
    <w:family w:val="auto"/>
    <w:pitch w:val="default"/>
    <w:sig w:usb0="81000063" w:usb1="00002000" w:usb2="00000000" w:usb3="00000000" w:csb0="0001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Helvetica">
    <w:altName w:val="DejaVu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宋体-超大字符集扩">
    <w:panose1 w:val="000005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B9513C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</w:rPr>
      <w:id w:val="1752151256"/>
    </w:sdtPr>
    <w:sdtEndPr>
      <w:rPr>
        <w:rFonts w:asciiTheme="majorHAnsi" w:hAnsiTheme="majorHAnsi" w:eastAsiaTheme="majorEastAsia" w:cstheme="majorBidi"/>
      </w:rPr>
    </w:sdtEndPr>
    <w:sdtContent>
      <w:sdt>
        <w:sdtPr>
          <w:rPr>
            <w:rFonts w:asciiTheme="majorHAnsi" w:hAnsiTheme="majorHAnsi" w:eastAsiaTheme="majorEastAsia" w:cstheme="majorBidi"/>
          </w:rPr>
          <w:id w:val="171357582"/>
        </w:sdtPr>
        <w:sdtEndPr>
          <w:rPr>
            <w:rFonts w:asciiTheme="majorHAnsi" w:hAnsiTheme="majorHAnsi" w:eastAsiaTheme="majorEastAsia" w:cstheme="majorBidi"/>
          </w:rPr>
        </w:sdtEndPr>
        <w:sdtContent>
          <w:p w14:paraId="7D309F34">
            <w:pPr>
              <w:ind w:firstLine="420"/>
              <w:rPr>
                <w:rFonts w:asciiTheme="majorHAnsi" w:hAnsiTheme="majorHAnsi" w:eastAsiaTheme="majorEastAsia" w:cstheme="majorBidi"/>
              </w:rPr>
            </w:pPr>
            <w:r>
              <w:rPr>
                <w:rFonts w:asciiTheme="majorHAnsi" w:hAnsiTheme="majorHAnsi" w:eastAsiaTheme="majorEastAsia" w:cstheme="majorBidi"/>
              </w:rPr>
              <w:pict>
                <v:shape id="椭圆 2" o:spid="_x0000_s3073" o:spt="3" type="#_x0000_t3" style="position:absolute;left:0pt;margin-left:0pt;margin-top:0pt;height:49.35pt;width:49.35pt;mso-position-horizontal-relative:page;mso-position-vertical-relative:page;z-index:251659264;v-text-anchor:middle;mso-width-relative:page;mso-height-relative:page;" fillcolor="#365F91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">
                  <v:path/>
                  <v:fill on="t" focussize="0,0"/>
                  <v:stroke on="f"/>
                  <v:imagedata o:title=""/>
                  <o:lock v:ext="edit"/>
                  <v:textbox>
                    <w:txbxContent>
                      <w:p w14:paraId="2955C014">
                        <w:pPr>
                          <w:pStyle w:val="10"/>
                          <w:ind w:firstLine="440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zh-CN"/>
                          </w:rPr>
                          <w:t>2</w:t>
                        </w:r>
                        <w:r>
                          <w:rPr>
                            <w:b/>
                            <w:color w:val="FFFFFF" w:themeColor="background1"/>
                            <w:sz w:val="32"/>
                            <w:szCs w:val="32"/>
                            <w:lang w:val="zh-CN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w:r>
          </w:p>
        </w:sdtContent>
      </w:sdt>
    </w:sdtContent>
  </w:sdt>
  <w:p w14:paraId="4D58900A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B98D89"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947DF9">
    <w:pPr>
      <w:pStyle w:val="10"/>
      <w:ind w:firstLine="360"/>
    </w:pPr>
    <w:r>
      <w:rPr>
        <w:sz w:val="18"/>
      </w:rPr>
      <w:pict>
        <v:shape id="_x0000_s3074" o:spid="_x0000_s3074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2339170F">
                <w:pPr>
                  <w:pStyle w:val="10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0AC6"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DF982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4C42A"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2847E5"/>
    <w:multiLevelType w:val="singleLevel"/>
    <w:tmpl w:val="322847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1,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kyZDljMmEzNDU0MWRlNWQ1NzBmZGJhMjkyZWUzOWQifQ=="/>
  </w:docVars>
  <w:rsids>
    <w:rsidRoot w:val="00B232D4"/>
    <w:rsid w:val="0000060C"/>
    <w:rsid w:val="00003641"/>
    <w:rsid w:val="00004E75"/>
    <w:rsid w:val="000143F4"/>
    <w:rsid w:val="00014537"/>
    <w:rsid w:val="00030135"/>
    <w:rsid w:val="0003289F"/>
    <w:rsid w:val="00036906"/>
    <w:rsid w:val="000377E0"/>
    <w:rsid w:val="00042859"/>
    <w:rsid w:val="00046C81"/>
    <w:rsid w:val="00047377"/>
    <w:rsid w:val="00047B6B"/>
    <w:rsid w:val="000541E2"/>
    <w:rsid w:val="00056CAC"/>
    <w:rsid w:val="000606C7"/>
    <w:rsid w:val="000674F1"/>
    <w:rsid w:val="00070D34"/>
    <w:rsid w:val="0007616A"/>
    <w:rsid w:val="00083FCB"/>
    <w:rsid w:val="00095988"/>
    <w:rsid w:val="0009694F"/>
    <w:rsid w:val="000A567D"/>
    <w:rsid w:val="000B1107"/>
    <w:rsid w:val="000B5EEA"/>
    <w:rsid w:val="000C043F"/>
    <w:rsid w:val="000C26FE"/>
    <w:rsid w:val="000C36A9"/>
    <w:rsid w:val="000C6F64"/>
    <w:rsid w:val="000E09DB"/>
    <w:rsid w:val="000F0B46"/>
    <w:rsid w:val="000F7320"/>
    <w:rsid w:val="00101BC2"/>
    <w:rsid w:val="0010392D"/>
    <w:rsid w:val="00116F20"/>
    <w:rsid w:val="0012607E"/>
    <w:rsid w:val="00143F9F"/>
    <w:rsid w:val="00144818"/>
    <w:rsid w:val="00150299"/>
    <w:rsid w:val="00151514"/>
    <w:rsid w:val="001528D5"/>
    <w:rsid w:val="00153200"/>
    <w:rsid w:val="00153D2B"/>
    <w:rsid w:val="00155D6F"/>
    <w:rsid w:val="001702CA"/>
    <w:rsid w:val="0018661D"/>
    <w:rsid w:val="00197EB2"/>
    <w:rsid w:val="001A55C6"/>
    <w:rsid w:val="001B1852"/>
    <w:rsid w:val="001B2F32"/>
    <w:rsid w:val="001B3C0E"/>
    <w:rsid w:val="001C1FED"/>
    <w:rsid w:val="001C2ADA"/>
    <w:rsid w:val="001C4E56"/>
    <w:rsid w:val="001E60EF"/>
    <w:rsid w:val="001F5201"/>
    <w:rsid w:val="001F79B2"/>
    <w:rsid w:val="002005C7"/>
    <w:rsid w:val="00203B18"/>
    <w:rsid w:val="00206905"/>
    <w:rsid w:val="00212BA8"/>
    <w:rsid w:val="002257B1"/>
    <w:rsid w:val="00226A7E"/>
    <w:rsid w:val="00230DE3"/>
    <w:rsid w:val="002333FF"/>
    <w:rsid w:val="00233EC8"/>
    <w:rsid w:val="002357FD"/>
    <w:rsid w:val="00237F32"/>
    <w:rsid w:val="00240057"/>
    <w:rsid w:val="00241E33"/>
    <w:rsid w:val="00254570"/>
    <w:rsid w:val="00254FB1"/>
    <w:rsid w:val="002604B7"/>
    <w:rsid w:val="00260E9B"/>
    <w:rsid w:val="00281964"/>
    <w:rsid w:val="00282DA8"/>
    <w:rsid w:val="002939FA"/>
    <w:rsid w:val="002953FF"/>
    <w:rsid w:val="00295429"/>
    <w:rsid w:val="002962F3"/>
    <w:rsid w:val="002B4DC5"/>
    <w:rsid w:val="002B6509"/>
    <w:rsid w:val="002C0F2A"/>
    <w:rsid w:val="002C29EF"/>
    <w:rsid w:val="002C50FC"/>
    <w:rsid w:val="002D4468"/>
    <w:rsid w:val="002E5999"/>
    <w:rsid w:val="002E6694"/>
    <w:rsid w:val="002F2236"/>
    <w:rsid w:val="002F6C20"/>
    <w:rsid w:val="00301D7F"/>
    <w:rsid w:val="00303F12"/>
    <w:rsid w:val="00311818"/>
    <w:rsid w:val="003222F5"/>
    <w:rsid w:val="0032370D"/>
    <w:rsid w:val="0033685C"/>
    <w:rsid w:val="003411C6"/>
    <w:rsid w:val="00345529"/>
    <w:rsid w:val="00346119"/>
    <w:rsid w:val="003509B0"/>
    <w:rsid w:val="003553FE"/>
    <w:rsid w:val="00360890"/>
    <w:rsid w:val="003644F0"/>
    <w:rsid w:val="00370556"/>
    <w:rsid w:val="00371B0A"/>
    <w:rsid w:val="00372D23"/>
    <w:rsid w:val="00372EE9"/>
    <w:rsid w:val="0038059E"/>
    <w:rsid w:val="00383185"/>
    <w:rsid w:val="00390AEE"/>
    <w:rsid w:val="00391C4C"/>
    <w:rsid w:val="00393447"/>
    <w:rsid w:val="0039457F"/>
    <w:rsid w:val="00395043"/>
    <w:rsid w:val="0039660B"/>
    <w:rsid w:val="003A0AF1"/>
    <w:rsid w:val="003A491E"/>
    <w:rsid w:val="003B7672"/>
    <w:rsid w:val="003C4055"/>
    <w:rsid w:val="003C468C"/>
    <w:rsid w:val="003D159C"/>
    <w:rsid w:val="003D2DE3"/>
    <w:rsid w:val="003D2EEC"/>
    <w:rsid w:val="003D4313"/>
    <w:rsid w:val="003E2FC7"/>
    <w:rsid w:val="003E635A"/>
    <w:rsid w:val="003F2314"/>
    <w:rsid w:val="003F2907"/>
    <w:rsid w:val="003F2EAB"/>
    <w:rsid w:val="003F2FAB"/>
    <w:rsid w:val="003F439B"/>
    <w:rsid w:val="003F56B1"/>
    <w:rsid w:val="00407627"/>
    <w:rsid w:val="00411FCD"/>
    <w:rsid w:val="00416C36"/>
    <w:rsid w:val="004314AC"/>
    <w:rsid w:val="0044102E"/>
    <w:rsid w:val="00444CCB"/>
    <w:rsid w:val="00457234"/>
    <w:rsid w:val="00457477"/>
    <w:rsid w:val="0046015E"/>
    <w:rsid w:val="00463B6F"/>
    <w:rsid w:val="00467113"/>
    <w:rsid w:val="0047130C"/>
    <w:rsid w:val="00472512"/>
    <w:rsid w:val="00475D07"/>
    <w:rsid w:val="004765FC"/>
    <w:rsid w:val="00481263"/>
    <w:rsid w:val="00497108"/>
    <w:rsid w:val="004A3768"/>
    <w:rsid w:val="004A3E41"/>
    <w:rsid w:val="004A49C6"/>
    <w:rsid w:val="004B1F51"/>
    <w:rsid w:val="004B3706"/>
    <w:rsid w:val="004C14D1"/>
    <w:rsid w:val="004C7879"/>
    <w:rsid w:val="004D1A4B"/>
    <w:rsid w:val="004E1534"/>
    <w:rsid w:val="004E3FE3"/>
    <w:rsid w:val="005020E2"/>
    <w:rsid w:val="00514963"/>
    <w:rsid w:val="00524CEC"/>
    <w:rsid w:val="005260A0"/>
    <w:rsid w:val="00540D91"/>
    <w:rsid w:val="00544E63"/>
    <w:rsid w:val="0055219F"/>
    <w:rsid w:val="0055405A"/>
    <w:rsid w:val="00566599"/>
    <w:rsid w:val="0057697A"/>
    <w:rsid w:val="005776DD"/>
    <w:rsid w:val="005807B8"/>
    <w:rsid w:val="005B05E9"/>
    <w:rsid w:val="005B1E46"/>
    <w:rsid w:val="005E0EFE"/>
    <w:rsid w:val="005F021C"/>
    <w:rsid w:val="005F2943"/>
    <w:rsid w:val="00601BBE"/>
    <w:rsid w:val="0060327C"/>
    <w:rsid w:val="00605DC0"/>
    <w:rsid w:val="006335CB"/>
    <w:rsid w:val="00633951"/>
    <w:rsid w:val="00634841"/>
    <w:rsid w:val="00642DFB"/>
    <w:rsid w:val="006454F1"/>
    <w:rsid w:val="006506C3"/>
    <w:rsid w:val="00651179"/>
    <w:rsid w:val="006549AF"/>
    <w:rsid w:val="00660879"/>
    <w:rsid w:val="00662828"/>
    <w:rsid w:val="006631F7"/>
    <w:rsid w:val="00666FB5"/>
    <w:rsid w:val="00672387"/>
    <w:rsid w:val="0068084E"/>
    <w:rsid w:val="0068238E"/>
    <w:rsid w:val="00686C80"/>
    <w:rsid w:val="006A260A"/>
    <w:rsid w:val="006A6242"/>
    <w:rsid w:val="006A6F5F"/>
    <w:rsid w:val="006B1E70"/>
    <w:rsid w:val="006B5BBC"/>
    <w:rsid w:val="006C17DC"/>
    <w:rsid w:val="006C3209"/>
    <w:rsid w:val="006C3BBE"/>
    <w:rsid w:val="006D0FC5"/>
    <w:rsid w:val="006D19BB"/>
    <w:rsid w:val="006E6506"/>
    <w:rsid w:val="006F6EDE"/>
    <w:rsid w:val="00712112"/>
    <w:rsid w:val="00716CB3"/>
    <w:rsid w:val="00722902"/>
    <w:rsid w:val="00725138"/>
    <w:rsid w:val="00726CD2"/>
    <w:rsid w:val="00726F5C"/>
    <w:rsid w:val="00727098"/>
    <w:rsid w:val="00727E51"/>
    <w:rsid w:val="00734FDE"/>
    <w:rsid w:val="00760898"/>
    <w:rsid w:val="00771369"/>
    <w:rsid w:val="0078578B"/>
    <w:rsid w:val="007A7D5F"/>
    <w:rsid w:val="007C286E"/>
    <w:rsid w:val="007C6DBF"/>
    <w:rsid w:val="007E039C"/>
    <w:rsid w:val="007E0691"/>
    <w:rsid w:val="007E4CDC"/>
    <w:rsid w:val="007E5452"/>
    <w:rsid w:val="007F083A"/>
    <w:rsid w:val="007F11A2"/>
    <w:rsid w:val="008015E5"/>
    <w:rsid w:val="00804B6D"/>
    <w:rsid w:val="0081004E"/>
    <w:rsid w:val="00817B50"/>
    <w:rsid w:val="00826DC8"/>
    <w:rsid w:val="0084256C"/>
    <w:rsid w:val="00846E4B"/>
    <w:rsid w:val="00847CA9"/>
    <w:rsid w:val="00860570"/>
    <w:rsid w:val="00860CF3"/>
    <w:rsid w:val="00862583"/>
    <w:rsid w:val="0086325B"/>
    <w:rsid w:val="0086394F"/>
    <w:rsid w:val="00865340"/>
    <w:rsid w:val="0086715D"/>
    <w:rsid w:val="00867DCC"/>
    <w:rsid w:val="008742CF"/>
    <w:rsid w:val="00875F24"/>
    <w:rsid w:val="008905AC"/>
    <w:rsid w:val="008908FF"/>
    <w:rsid w:val="00896954"/>
    <w:rsid w:val="008B4683"/>
    <w:rsid w:val="008B4C75"/>
    <w:rsid w:val="008D2533"/>
    <w:rsid w:val="008F219A"/>
    <w:rsid w:val="008F4052"/>
    <w:rsid w:val="008F4572"/>
    <w:rsid w:val="008F684A"/>
    <w:rsid w:val="00900D08"/>
    <w:rsid w:val="00913AEC"/>
    <w:rsid w:val="00916677"/>
    <w:rsid w:val="00921C69"/>
    <w:rsid w:val="00930311"/>
    <w:rsid w:val="00930631"/>
    <w:rsid w:val="009321B3"/>
    <w:rsid w:val="00935C06"/>
    <w:rsid w:val="00942CDB"/>
    <w:rsid w:val="00943A00"/>
    <w:rsid w:val="00947511"/>
    <w:rsid w:val="00956644"/>
    <w:rsid w:val="009637EB"/>
    <w:rsid w:val="00967674"/>
    <w:rsid w:val="009918C0"/>
    <w:rsid w:val="00992B3C"/>
    <w:rsid w:val="0099787E"/>
    <w:rsid w:val="009A42C8"/>
    <w:rsid w:val="009A5398"/>
    <w:rsid w:val="009A71E0"/>
    <w:rsid w:val="009B3F33"/>
    <w:rsid w:val="009B424B"/>
    <w:rsid w:val="009C1D31"/>
    <w:rsid w:val="009E11DE"/>
    <w:rsid w:val="009F4B09"/>
    <w:rsid w:val="009F6951"/>
    <w:rsid w:val="00A018C4"/>
    <w:rsid w:val="00A06891"/>
    <w:rsid w:val="00A11A87"/>
    <w:rsid w:val="00A12F17"/>
    <w:rsid w:val="00A23F62"/>
    <w:rsid w:val="00A36295"/>
    <w:rsid w:val="00A36948"/>
    <w:rsid w:val="00A44571"/>
    <w:rsid w:val="00A51648"/>
    <w:rsid w:val="00A55988"/>
    <w:rsid w:val="00A76F4C"/>
    <w:rsid w:val="00A81319"/>
    <w:rsid w:val="00AA5D2A"/>
    <w:rsid w:val="00AB3B88"/>
    <w:rsid w:val="00AC296D"/>
    <w:rsid w:val="00AC3429"/>
    <w:rsid w:val="00AC49CD"/>
    <w:rsid w:val="00AC7308"/>
    <w:rsid w:val="00AD2B4D"/>
    <w:rsid w:val="00AD2C71"/>
    <w:rsid w:val="00AD5FCD"/>
    <w:rsid w:val="00AE2A2D"/>
    <w:rsid w:val="00AE4FEC"/>
    <w:rsid w:val="00AF296B"/>
    <w:rsid w:val="00AF4D1F"/>
    <w:rsid w:val="00AF6E86"/>
    <w:rsid w:val="00B007A1"/>
    <w:rsid w:val="00B01C8F"/>
    <w:rsid w:val="00B1651C"/>
    <w:rsid w:val="00B171EE"/>
    <w:rsid w:val="00B174B1"/>
    <w:rsid w:val="00B232D4"/>
    <w:rsid w:val="00B30525"/>
    <w:rsid w:val="00B62A27"/>
    <w:rsid w:val="00B669D2"/>
    <w:rsid w:val="00B752A6"/>
    <w:rsid w:val="00B82F10"/>
    <w:rsid w:val="00B848E4"/>
    <w:rsid w:val="00B87D09"/>
    <w:rsid w:val="00BA3FC4"/>
    <w:rsid w:val="00BB2E20"/>
    <w:rsid w:val="00BB612E"/>
    <w:rsid w:val="00BB6968"/>
    <w:rsid w:val="00BE265C"/>
    <w:rsid w:val="00BE468A"/>
    <w:rsid w:val="00C049E3"/>
    <w:rsid w:val="00C04C42"/>
    <w:rsid w:val="00C0779C"/>
    <w:rsid w:val="00C11D94"/>
    <w:rsid w:val="00C25D72"/>
    <w:rsid w:val="00C311B8"/>
    <w:rsid w:val="00C31201"/>
    <w:rsid w:val="00C36DA7"/>
    <w:rsid w:val="00C40190"/>
    <w:rsid w:val="00C414CB"/>
    <w:rsid w:val="00C508FB"/>
    <w:rsid w:val="00C53639"/>
    <w:rsid w:val="00C54740"/>
    <w:rsid w:val="00C5668A"/>
    <w:rsid w:val="00C674AE"/>
    <w:rsid w:val="00C67F0D"/>
    <w:rsid w:val="00C71215"/>
    <w:rsid w:val="00C75F1B"/>
    <w:rsid w:val="00C81663"/>
    <w:rsid w:val="00C820BC"/>
    <w:rsid w:val="00C85FCB"/>
    <w:rsid w:val="00C86E34"/>
    <w:rsid w:val="00CC1926"/>
    <w:rsid w:val="00CE1CA0"/>
    <w:rsid w:val="00CE4758"/>
    <w:rsid w:val="00CE6449"/>
    <w:rsid w:val="00CE7737"/>
    <w:rsid w:val="00D01F3D"/>
    <w:rsid w:val="00D05365"/>
    <w:rsid w:val="00D065E0"/>
    <w:rsid w:val="00D06CBB"/>
    <w:rsid w:val="00D07E56"/>
    <w:rsid w:val="00D1200A"/>
    <w:rsid w:val="00D17FCD"/>
    <w:rsid w:val="00D22BDF"/>
    <w:rsid w:val="00D24B06"/>
    <w:rsid w:val="00D25343"/>
    <w:rsid w:val="00D35872"/>
    <w:rsid w:val="00D40E5E"/>
    <w:rsid w:val="00D40EFD"/>
    <w:rsid w:val="00D4290B"/>
    <w:rsid w:val="00D44B49"/>
    <w:rsid w:val="00D46802"/>
    <w:rsid w:val="00D4728F"/>
    <w:rsid w:val="00D55216"/>
    <w:rsid w:val="00D575D0"/>
    <w:rsid w:val="00D63BC3"/>
    <w:rsid w:val="00D8673C"/>
    <w:rsid w:val="00D87E16"/>
    <w:rsid w:val="00D927A7"/>
    <w:rsid w:val="00D93F37"/>
    <w:rsid w:val="00DA06FB"/>
    <w:rsid w:val="00DA55B1"/>
    <w:rsid w:val="00DA581B"/>
    <w:rsid w:val="00DB03CA"/>
    <w:rsid w:val="00DB150B"/>
    <w:rsid w:val="00DB20D0"/>
    <w:rsid w:val="00DB2626"/>
    <w:rsid w:val="00DC0FD8"/>
    <w:rsid w:val="00DC159A"/>
    <w:rsid w:val="00DC4D9B"/>
    <w:rsid w:val="00DD1FFB"/>
    <w:rsid w:val="00DD3042"/>
    <w:rsid w:val="00DF3E05"/>
    <w:rsid w:val="00DF4255"/>
    <w:rsid w:val="00DF45A9"/>
    <w:rsid w:val="00E00702"/>
    <w:rsid w:val="00E02AA1"/>
    <w:rsid w:val="00E03583"/>
    <w:rsid w:val="00E04CE0"/>
    <w:rsid w:val="00E05659"/>
    <w:rsid w:val="00E24D15"/>
    <w:rsid w:val="00E270F7"/>
    <w:rsid w:val="00E31B0A"/>
    <w:rsid w:val="00E366D3"/>
    <w:rsid w:val="00E45D30"/>
    <w:rsid w:val="00E57A37"/>
    <w:rsid w:val="00E6110A"/>
    <w:rsid w:val="00E66DCE"/>
    <w:rsid w:val="00E7417A"/>
    <w:rsid w:val="00E8045B"/>
    <w:rsid w:val="00E85A17"/>
    <w:rsid w:val="00E92396"/>
    <w:rsid w:val="00EA27BF"/>
    <w:rsid w:val="00EA6E0F"/>
    <w:rsid w:val="00ED370C"/>
    <w:rsid w:val="00ED6616"/>
    <w:rsid w:val="00ED7FA4"/>
    <w:rsid w:val="00EE3998"/>
    <w:rsid w:val="00EE4578"/>
    <w:rsid w:val="00EF1E56"/>
    <w:rsid w:val="00EF483F"/>
    <w:rsid w:val="00EF779D"/>
    <w:rsid w:val="00F02823"/>
    <w:rsid w:val="00F24173"/>
    <w:rsid w:val="00F267EF"/>
    <w:rsid w:val="00F30A6B"/>
    <w:rsid w:val="00F32BBD"/>
    <w:rsid w:val="00F36AF6"/>
    <w:rsid w:val="00F37D7C"/>
    <w:rsid w:val="00F432B9"/>
    <w:rsid w:val="00F43FAD"/>
    <w:rsid w:val="00F603C1"/>
    <w:rsid w:val="00F65877"/>
    <w:rsid w:val="00F677B3"/>
    <w:rsid w:val="00F8541F"/>
    <w:rsid w:val="00F85BFE"/>
    <w:rsid w:val="00F92B03"/>
    <w:rsid w:val="00F93C25"/>
    <w:rsid w:val="00F96B4A"/>
    <w:rsid w:val="00FA6122"/>
    <w:rsid w:val="00FA6ED0"/>
    <w:rsid w:val="00FA7B10"/>
    <w:rsid w:val="00FE5E78"/>
    <w:rsid w:val="00FF3CFB"/>
    <w:rsid w:val="00FF5632"/>
    <w:rsid w:val="01855752"/>
    <w:rsid w:val="02657731"/>
    <w:rsid w:val="02BA6497"/>
    <w:rsid w:val="02D13BB0"/>
    <w:rsid w:val="02DA4630"/>
    <w:rsid w:val="034A31CB"/>
    <w:rsid w:val="04133956"/>
    <w:rsid w:val="04A25551"/>
    <w:rsid w:val="04CE1F73"/>
    <w:rsid w:val="04FE17BB"/>
    <w:rsid w:val="053330D3"/>
    <w:rsid w:val="05A21435"/>
    <w:rsid w:val="05AB10D4"/>
    <w:rsid w:val="05B64EE1"/>
    <w:rsid w:val="06CE1DB6"/>
    <w:rsid w:val="06E25862"/>
    <w:rsid w:val="073A744C"/>
    <w:rsid w:val="07524795"/>
    <w:rsid w:val="07F17FC2"/>
    <w:rsid w:val="08AF7209"/>
    <w:rsid w:val="08BC62FE"/>
    <w:rsid w:val="08DD2784"/>
    <w:rsid w:val="0A0139B7"/>
    <w:rsid w:val="0AB82071"/>
    <w:rsid w:val="0AC211CA"/>
    <w:rsid w:val="0ADA51CD"/>
    <w:rsid w:val="0B4D3BF1"/>
    <w:rsid w:val="0B882E7B"/>
    <w:rsid w:val="0BD467B4"/>
    <w:rsid w:val="0C1D3AC8"/>
    <w:rsid w:val="0CDC6310"/>
    <w:rsid w:val="0DDE59E4"/>
    <w:rsid w:val="0E0213F2"/>
    <w:rsid w:val="0E060087"/>
    <w:rsid w:val="0EB6226B"/>
    <w:rsid w:val="0EF600FC"/>
    <w:rsid w:val="0F135152"/>
    <w:rsid w:val="0F1467D4"/>
    <w:rsid w:val="0FDB4073"/>
    <w:rsid w:val="10022AD1"/>
    <w:rsid w:val="1045477D"/>
    <w:rsid w:val="105D3834"/>
    <w:rsid w:val="110747A8"/>
    <w:rsid w:val="12AC02E6"/>
    <w:rsid w:val="12FE7EC7"/>
    <w:rsid w:val="138D7B40"/>
    <w:rsid w:val="139366AD"/>
    <w:rsid w:val="142E70B3"/>
    <w:rsid w:val="145139F1"/>
    <w:rsid w:val="14741392"/>
    <w:rsid w:val="15023909"/>
    <w:rsid w:val="1527196A"/>
    <w:rsid w:val="16315F4D"/>
    <w:rsid w:val="164C1A4B"/>
    <w:rsid w:val="16B03920"/>
    <w:rsid w:val="172646BC"/>
    <w:rsid w:val="175314BC"/>
    <w:rsid w:val="17D32FDC"/>
    <w:rsid w:val="189664AC"/>
    <w:rsid w:val="1A9B5FFB"/>
    <w:rsid w:val="1AC770B4"/>
    <w:rsid w:val="1AE95196"/>
    <w:rsid w:val="1AF0003A"/>
    <w:rsid w:val="1B177640"/>
    <w:rsid w:val="1B735084"/>
    <w:rsid w:val="1CE123EB"/>
    <w:rsid w:val="1D2422D8"/>
    <w:rsid w:val="1D2A0508"/>
    <w:rsid w:val="1D3D3613"/>
    <w:rsid w:val="1ECE06B5"/>
    <w:rsid w:val="1F75506D"/>
    <w:rsid w:val="1F8F5F24"/>
    <w:rsid w:val="1FF93EF0"/>
    <w:rsid w:val="20B9542D"/>
    <w:rsid w:val="20CD264D"/>
    <w:rsid w:val="20D9413C"/>
    <w:rsid w:val="21501B14"/>
    <w:rsid w:val="21E309B4"/>
    <w:rsid w:val="22417C89"/>
    <w:rsid w:val="22FF2430"/>
    <w:rsid w:val="24172B97"/>
    <w:rsid w:val="24187FFD"/>
    <w:rsid w:val="24280900"/>
    <w:rsid w:val="24446582"/>
    <w:rsid w:val="249935AC"/>
    <w:rsid w:val="25063703"/>
    <w:rsid w:val="2519649B"/>
    <w:rsid w:val="259F40A6"/>
    <w:rsid w:val="26A83194"/>
    <w:rsid w:val="26EA4592"/>
    <w:rsid w:val="27693709"/>
    <w:rsid w:val="28043432"/>
    <w:rsid w:val="28600C14"/>
    <w:rsid w:val="28604C51"/>
    <w:rsid w:val="2899361B"/>
    <w:rsid w:val="292A336C"/>
    <w:rsid w:val="297736EF"/>
    <w:rsid w:val="2997660C"/>
    <w:rsid w:val="2A150918"/>
    <w:rsid w:val="2AB949A8"/>
    <w:rsid w:val="2ABE5B1A"/>
    <w:rsid w:val="2BB92C35"/>
    <w:rsid w:val="2BCC766D"/>
    <w:rsid w:val="2C3342E6"/>
    <w:rsid w:val="2CC94CA1"/>
    <w:rsid w:val="2CE451F3"/>
    <w:rsid w:val="2CEC1BE3"/>
    <w:rsid w:val="2D881E19"/>
    <w:rsid w:val="2DB25117"/>
    <w:rsid w:val="2DBF0527"/>
    <w:rsid w:val="2FB27C17"/>
    <w:rsid w:val="311A3CC6"/>
    <w:rsid w:val="32146967"/>
    <w:rsid w:val="322C3CB1"/>
    <w:rsid w:val="32433584"/>
    <w:rsid w:val="32CC4DD8"/>
    <w:rsid w:val="32CD4510"/>
    <w:rsid w:val="331710E0"/>
    <w:rsid w:val="335A484E"/>
    <w:rsid w:val="33791178"/>
    <w:rsid w:val="33F055F4"/>
    <w:rsid w:val="34AB313E"/>
    <w:rsid w:val="34AF1B7C"/>
    <w:rsid w:val="35BE6633"/>
    <w:rsid w:val="35D5640E"/>
    <w:rsid w:val="35E84393"/>
    <w:rsid w:val="36A22794"/>
    <w:rsid w:val="36F33193"/>
    <w:rsid w:val="37872CCC"/>
    <w:rsid w:val="38182460"/>
    <w:rsid w:val="397228F1"/>
    <w:rsid w:val="3A03179B"/>
    <w:rsid w:val="3AFF2D6A"/>
    <w:rsid w:val="3B335B15"/>
    <w:rsid w:val="3BBE6635"/>
    <w:rsid w:val="3C434A09"/>
    <w:rsid w:val="3CA8662A"/>
    <w:rsid w:val="3D361E88"/>
    <w:rsid w:val="3D365577"/>
    <w:rsid w:val="3D5E7496"/>
    <w:rsid w:val="3D640108"/>
    <w:rsid w:val="3DB242E5"/>
    <w:rsid w:val="3DE2791A"/>
    <w:rsid w:val="3E3143FD"/>
    <w:rsid w:val="3EC761D8"/>
    <w:rsid w:val="3F6E3B5B"/>
    <w:rsid w:val="3F7F1319"/>
    <w:rsid w:val="40204729"/>
    <w:rsid w:val="403E7238"/>
    <w:rsid w:val="40465F65"/>
    <w:rsid w:val="40503A25"/>
    <w:rsid w:val="40B76213"/>
    <w:rsid w:val="4120324D"/>
    <w:rsid w:val="41AC65CC"/>
    <w:rsid w:val="4222383C"/>
    <w:rsid w:val="42472441"/>
    <w:rsid w:val="429737AE"/>
    <w:rsid w:val="440D0145"/>
    <w:rsid w:val="45192324"/>
    <w:rsid w:val="466A4F52"/>
    <w:rsid w:val="475F45F4"/>
    <w:rsid w:val="47CB7671"/>
    <w:rsid w:val="47DD4670"/>
    <w:rsid w:val="48D72AA3"/>
    <w:rsid w:val="48DD3AFF"/>
    <w:rsid w:val="48E2187F"/>
    <w:rsid w:val="49077FE6"/>
    <w:rsid w:val="495406C2"/>
    <w:rsid w:val="498A067A"/>
    <w:rsid w:val="49C60785"/>
    <w:rsid w:val="4A1D1EC8"/>
    <w:rsid w:val="4ACB154D"/>
    <w:rsid w:val="4B1B446B"/>
    <w:rsid w:val="4B5C0073"/>
    <w:rsid w:val="4BB072A9"/>
    <w:rsid w:val="4BD10095"/>
    <w:rsid w:val="4BD52B28"/>
    <w:rsid w:val="4BDC009E"/>
    <w:rsid w:val="4C3062DF"/>
    <w:rsid w:val="4C6F1BC4"/>
    <w:rsid w:val="4C9F7ED1"/>
    <w:rsid w:val="4CDD5414"/>
    <w:rsid w:val="4CE4545C"/>
    <w:rsid w:val="4E1B1742"/>
    <w:rsid w:val="4E1F24C4"/>
    <w:rsid w:val="4EBB116F"/>
    <w:rsid w:val="4F44293C"/>
    <w:rsid w:val="509B1CB1"/>
    <w:rsid w:val="50F71AAB"/>
    <w:rsid w:val="50FF516A"/>
    <w:rsid w:val="514A7396"/>
    <w:rsid w:val="51EC2022"/>
    <w:rsid w:val="522923D3"/>
    <w:rsid w:val="52F12681"/>
    <w:rsid w:val="53A9470E"/>
    <w:rsid w:val="540F48EE"/>
    <w:rsid w:val="55986E84"/>
    <w:rsid w:val="567E4073"/>
    <w:rsid w:val="568B4B9B"/>
    <w:rsid w:val="56BC3AD9"/>
    <w:rsid w:val="56E357B1"/>
    <w:rsid w:val="57195F18"/>
    <w:rsid w:val="581356E9"/>
    <w:rsid w:val="5814296E"/>
    <w:rsid w:val="584364B9"/>
    <w:rsid w:val="5862010E"/>
    <w:rsid w:val="58C85C32"/>
    <w:rsid w:val="58F06F37"/>
    <w:rsid w:val="59A109C8"/>
    <w:rsid w:val="59ED0ECA"/>
    <w:rsid w:val="5A074538"/>
    <w:rsid w:val="5A203D5A"/>
    <w:rsid w:val="5A335AED"/>
    <w:rsid w:val="5A6845D2"/>
    <w:rsid w:val="5BAC35E9"/>
    <w:rsid w:val="5BEC7E8A"/>
    <w:rsid w:val="5C262B72"/>
    <w:rsid w:val="5CC14081"/>
    <w:rsid w:val="5CED5FBE"/>
    <w:rsid w:val="5D5D0C48"/>
    <w:rsid w:val="5E574643"/>
    <w:rsid w:val="5E624433"/>
    <w:rsid w:val="5E8873BA"/>
    <w:rsid w:val="5F7F1015"/>
    <w:rsid w:val="5F953859"/>
    <w:rsid w:val="5FAB3F51"/>
    <w:rsid w:val="62513031"/>
    <w:rsid w:val="62970423"/>
    <w:rsid w:val="636B3D8A"/>
    <w:rsid w:val="637569B7"/>
    <w:rsid w:val="63BA77AE"/>
    <w:rsid w:val="63C35974"/>
    <w:rsid w:val="64AA0AEC"/>
    <w:rsid w:val="64E52F3A"/>
    <w:rsid w:val="66B12AC1"/>
    <w:rsid w:val="66B23A7E"/>
    <w:rsid w:val="674A0C56"/>
    <w:rsid w:val="67966EFB"/>
    <w:rsid w:val="680B24A1"/>
    <w:rsid w:val="681F6333"/>
    <w:rsid w:val="685935D4"/>
    <w:rsid w:val="68BA3557"/>
    <w:rsid w:val="68C066C2"/>
    <w:rsid w:val="69481083"/>
    <w:rsid w:val="69802B99"/>
    <w:rsid w:val="69A3353B"/>
    <w:rsid w:val="69EC374B"/>
    <w:rsid w:val="6A0171F6"/>
    <w:rsid w:val="6AA42102"/>
    <w:rsid w:val="6B453112"/>
    <w:rsid w:val="6B7E65DA"/>
    <w:rsid w:val="6C703596"/>
    <w:rsid w:val="6C763C55"/>
    <w:rsid w:val="6C884962"/>
    <w:rsid w:val="6DA305C4"/>
    <w:rsid w:val="6E041063"/>
    <w:rsid w:val="6E704675"/>
    <w:rsid w:val="6EF67FE9"/>
    <w:rsid w:val="6F8A0A03"/>
    <w:rsid w:val="71F416D8"/>
    <w:rsid w:val="71FC36C2"/>
    <w:rsid w:val="72671BC0"/>
    <w:rsid w:val="743F7C25"/>
    <w:rsid w:val="74A9781D"/>
    <w:rsid w:val="74B55F82"/>
    <w:rsid w:val="75F05CC0"/>
    <w:rsid w:val="761D4E15"/>
    <w:rsid w:val="768531CB"/>
    <w:rsid w:val="78912C23"/>
    <w:rsid w:val="78A91184"/>
    <w:rsid w:val="798E0A54"/>
    <w:rsid w:val="79D62704"/>
    <w:rsid w:val="79EE2D2D"/>
    <w:rsid w:val="7A1D7F03"/>
    <w:rsid w:val="7A9507F6"/>
    <w:rsid w:val="7B962D0C"/>
    <w:rsid w:val="7BB133CF"/>
    <w:rsid w:val="7C045611"/>
    <w:rsid w:val="7C606BB1"/>
    <w:rsid w:val="7CE43A4E"/>
    <w:rsid w:val="7CFD5790"/>
    <w:rsid w:val="7D983576"/>
    <w:rsid w:val="7E032A0C"/>
    <w:rsid w:val="7EFE565A"/>
    <w:rsid w:val="7F032C71"/>
    <w:rsid w:val="7FBC1FE5"/>
    <w:rsid w:val="7FC5019C"/>
    <w:rsid w:val="F6EEF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autoRedefine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22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6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autoRedefine/>
    <w:unhideWhenUsed/>
    <w:qFormat/>
    <w:uiPriority w:val="39"/>
    <w:pPr>
      <w:widowControl/>
      <w:spacing w:after="160" w:line="259" w:lineRule="auto"/>
      <w:ind w:left="840" w:leftChars="400"/>
      <w:jc w:val="left"/>
    </w:pPr>
    <w:rPr>
      <w:kern w:val="0"/>
      <w:sz w:val="22"/>
    </w:rPr>
  </w:style>
  <w:style w:type="paragraph" w:styleId="8">
    <w:name w:val="Date"/>
    <w:basedOn w:val="1"/>
    <w:next w:val="1"/>
    <w:link w:val="30"/>
    <w:autoRedefine/>
    <w:semiHidden/>
    <w:unhideWhenUsed/>
    <w:qFormat/>
    <w:uiPriority w:val="99"/>
    <w:pPr>
      <w:spacing w:line="360" w:lineRule="auto"/>
      <w:ind w:left="100" w:leftChars="2500"/>
    </w:pPr>
    <w:rPr>
      <w:rFonts w:ascii="Calibri" w:hAnsi="Calibri" w:eastAsia="宋体" w:cs="黑体"/>
    </w:rPr>
  </w:style>
  <w:style w:type="paragraph" w:styleId="9">
    <w:name w:val="Balloon Text"/>
    <w:basedOn w:val="1"/>
    <w:link w:val="27"/>
    <w:autoRedefine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unhideWhenUsed/>
    <w:qFormat/>
    <w:uiPriority w:val="39"/>
    <w:pPr>
      <w:widowControl/>
      <w:tabs>
        <w:tab w:val="right" w:leader="dot" w:pos="8296"/>
      </w:tabs>
      <w:spacing w:after="160" w:line="259" w:lineRule="auto"/>
      <w:ind w:firstLine="880"/>
      <w:jc w:val="center"/>
    </w:pPr>
    <w:rPr>
      <w:kern w:val="0"/>
      <w:sz w:val="44"/>
      <w:szCs w:val="44"/>
    </w:rPr>
  </w:style>
  <w:style w:type="paragraph" w:styleId="13">
    <w:name w:val="toc 2"/>
    <w:basedOn w:val="1"/>
    <w:next w:val="1"/>
    <w:autoRedefine/>
    <w:unhideWhenUsed/>
    <w:qFormat/>
    <w:uiPriority w:val="39"/>
    <w:pPr>
      <w:widowControl/>
      <w:tabs>
        <w:tab w:val="right" w:leader="dot" w:pos="8296"/>
      </w:tabs>
      <w:spacing w:after="160" w:line="259" w:lineRule="auto"/>
      <w:ind w:left="420" w:leftChars="200" w:firstLine="420"/>
      <w:jc w:val="left"/>
    </w:pPr>
    <w:rPr>
      <w:kern w:val="0"/>
      <w:sz w:val="22"/>
    </w:rPr>
  </w:style>
  <w:style w:type="character" w:styleId="16">
    <w:name w:val="Strong"/>
    <w:basedOn w:val="15"/>
    <w:autoRedefine/>
    <w:qFormat/>
    <w:uiPriority w:val="22"/>
    <w:rPr>
      <w:b/>
    </w:rPr>
  </w:style>
  <w:style w:type="character" w:styleId="17">
    <w:name w:val="FollowedHyperlink"/>
    <w:basedOn w:val="15"/>
    <w:autoRedefine/>
    <w:semiHidden/>
    <w:unhideWhenUsed/>
    <w:qFormat/>
    <w:uiPriority w:val="99"/>
    <w:rPr>
      <w:color w:val="954F72" w:themeColor="followedHyperlink"/>
      <w:u w:val="single"/>
    </w:rPr>
  </w:style>
  <w:style w:type="character" w:styleId="18">
    <w:name w:val="Hyperlink"/>
    <w:basedOn w:val="15"/>
    <w:autoRedefine/>
    <w:unhideWhenUsed/>
    <w:qFormat/>
    <w:uiPriority w:val="99"/>
    <w:rPr>
      <w:color w:val="0563C1" w:themeColor="hyperlink"/>
      <w:u w:val="single"/>
    </w:rPr>
  </w:style>
  <w:style w:type="character" w:customStyle="1" w:styleId="19">
    <w:name w:val="页眉 字符"/>
    <w:basedOn w:val="15"/>
    <w:link w:val="11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1">
    <w:name w:val="标题 1 字符"/>
    <w:basedOn w:val="15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36"/>
      <w:szCs w:val="44"/>
    </w:rPr>
  </w:style>
  <w:style w:type="character" w:customStyle="1" w:styleId="22">
    <w:name w:val="标题 2 字符"/>
    <w:basedOn w:val="15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字符"/>
    <w:basedOn w:val="15"/>
    <w:link w:val="4"/>
    <w:autoRedefine/>
    <w:qFormat/>
    <w:uiPriority w:val="9"/>
    <w:rPr>
      <w:b/>
      <w:bCs/>
      <w:sz w:val="32"/>
      <w:szCs w:val="32"/>
    </w:rPr>
  </w:style>
  <w:style w:type="paragraph" w:styleId="24">
    <w:name w:val="List Paragraph"/>
    <w:basedOn w:val="1"/>
    <w:autoRedefine/>
    <w:qFormat/>
    <w:uiPriority w:val="34"/>
    <w:pPr>
      <w:ind w:firstLine="420"/>
    </w:pPr>
  </w:style>
  <w:style w:type="character" w:customStyle="1" w:styleId="25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文档结构图 字符"/>
    <w:basedOn w:val="15"/>
    <w:link w:val="6"/>
    <w:autoRedefine/>
    <w:semiHidden/>
    <w:qFormat/>
    <w:uiPriority w:val="99"/>
    <w:rPr>
      <w:rFonts w:ascii="宋体" w:eastAsia="宋体"/>
      <w:sz w:val="18"/>
      <w:szCs w:val="18"/>
    </w:rPr>
  </w:style>
  <w:style w:type="character" w:customStyle="1" w:styleId="27">
    <w:name w:val="批注框文本 字符"/>
    <w:basedOn w:val="15"/>
    <w:link w:val="9"/>
    <w:autoRedefine/>
    <w:semiHidden/>
    <w:qFormat/>
    <w:uiPriority w:val="99"/>
    <w:rPr>
      <w:sz w:val="18"/>
      <w:szCs w:val="18"/>
    </w:rPr>
  </w:style>
  <w:style w:type="paragraph" w:styleId="28">
    <w:name w:val="No Spacing"/>
    <w:link w:val="29"/>
    <w:autoRedefine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9">
    <w:name w:val="无间隔 字符"/>
    <w:basedOn w:val="15"/>
    <w:link w:val="28"/>
    <w:autoRedefine/>
    <w:qFormat/>
    <w:uiPriority w:val="1"/>
    <w:rPr>
      <w:kern w:val="0"/>
      <w:sz w:val="22"/>
    </w:rPr>
  </w:style>
  <w:style w:type="character" w:customStyle="1" w:styleId="30">
    <w:name w:val="日期 字符"/>
    <w:basedOn w:val="15"/>
    <w:link w:val="8"/>
    <w:autoRedefine/>
    <w:semiHidden/>
    <w:qFormat/>
    <w:uiPriority w:val="99"/>
    <w:rPr>
      <w:rFonts w:ascii="Calibri" w:hAnsi="Calibri" w:eastAsia="宋体" w:cs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2714</Words>
  <Characters>3112</Characters>
  <Lines>178</Lines>
  <Paragraphs>183</Paragraphs>
  <TotalTime>4</TotalTime>
  <ScaleCrop>false</ScaleCrop>
  <LinksUpToDate>false</LinksUpToDate>
  <CharactersWithSpaces>3161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2018-05-14T11:58:00Z</dcterms:created>
  <dc:creator>Windows 用户</dc:creator>
  <cp:lastModifiedBy>蔡磊</cp:lastModifiedBy>
  <cp:lastPrinted>2025-12-31T09:23:05Z</cp:lastPrinted>
  <dcterms:modified xsi:type="dcterms:W3CDTF">2025-12-31T09:24:11Z</dcterms:modified>
  <cp:revision>291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969EAA7B698E491EB5343576ACC4F3F1</vt:lpwstr>
  </property>
  <property fmtid="{D5CDD505-2E9C-101B-9397-08002B2CF9AE}" pid="4" name="KSOTemplateDocerSaveRecord">
    <vt:lpwstr>eyJoZGlkIjoiODBiOTFlN2QxZmU1NjhlMjZmOTkzNzhlNmM4YjFjYTciLCJ1c2VySWQiOiI2NjA0ODA5NTMifQ==</vt:lpwstr>
  </property>
</Properties>
</file>