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A324C5">
      <w:pPr>
        <w:spacing w:after="100" w:afterAutospacing="1"/>
        <w:ind w:firstLine="964"/>
        <w:jc w:val="center"/>
        <w:rPr>
          <w:b/>
          <w:sz w:val="48"/>
          <w:szCs w:val="48"/>
        </w:rPr>
      </w:pPr>
    </w:p>
    <w:p w14:paraId="6FC66A56">
      <w:pPr>
        <w:spacing w:after="100" w:afterAutospacing="1"/>
        <w:ind w:firstLine="964"/>
        <w:rPr>
          <w:b/>
          <w:sz w:val="48"/>
          <w:szCs w:val="48"/>
        </w:rPr>
      </w:pPr>
    </w:p>
    <w:p w14:paraId="29EA5E1A">
      <w:pPr>
        <w:spacing w:after="100" w:afterAutospacing="1"/>
        <w:ind w:firstLine="0" w:firstLineChars="0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吉林省工程建设项目招标代理机构管理服务信息系统-个人端</w:t>
      </w:r>
    </w:p>
    <w:p w14:paraId="1F28E4D6">
      <w:pPr>
        <w:spacing w:after="100" w:afterAutospacing="1"/>
        <w:ind w:firstLine="420"/>
      </w:pPr>
    </w:p>
    <w:p w14:paraId="7EDFB3F7">
      <w:pPr>
        <w:spacing w:after="100" w:afterAutospacing="1"/>
        <w:ind w:firstLine="420"/>
      </w:pPr>
    </w:p>
    <w:p w14:paraId="6707FCD8">
      <w:pPr>
        <w:spacing w:after="100" w:afterAutospacing="1"/>
        <w:ind w:firstLine="2880" w:firstLineChars="720"/>
        <w:rPr>
          <w:rFonts w:ascii="Tahoma" w:hAnsi="Tahoma" w:eastAsia="微软雅黑"/>
          <w:kern w:val="0"/>
          <w:sz w:val="40"/>
          <w:szCs w:val="40"/>
        </w:rPr>
      </w:pPr>
      <w:r>
        <w:rPr>
          <w:rFonts w:hint="eastAsia" w:ascii="Tahoma" w:hAnsi="Tahoma" w:eastAsia="微软雅黑"/>
          <w:kern w:val="0"/>
          <w:sz w:val="40"/>
          <w:szCs w:val="40"/>
        </w:rPr>
        <w:t>（操作</w:t>
      </w:r>
      <w:r>
        <w:rPr>
          <w:rFonts w:hint="eastAsia" w:ascii="Tahoma" w:hAnsi="Tahoma" w:eastAsia="微软雅黑"/>
          <w:kern w:val="0"/>
          <w:sz w:val="40"/>
          <w:szCs w:val="40"/>
          <w:lang w:eastAsia="zh-CN"/>
        </w:rPr>
        <w:t>手册</w:t>
      </w:r>
      <w:r>
        <w:rPr>
          <w:rFonts w:hint="eastAsia" w:ascii="Tahoma" w:hAnsi="Tahoma" w:eastAsia="微软雅黑"/>
          <w:kern w:val="0"/>
          <w:sz w:val="40"/>
          <w:szCs w:val="40"/>
        </w:rPr>
        <w:t>）</w:t>
      </w:r>
    </w:p>
    <w:p w14:paraId="387BDCE3">
      <w:pPr>
        <w:spacing w:after="100" w:afterAutospacing="1"/>
        <w:ind w:firstLine="800"/>
        <w:jc w:val="center"/>
        <w:rPr>
          <w:rFonts w:ascii="Tahoma" w:hAnsi="Tahoma" w:eastAsia="微软雅黑"/>
          <w:kern w:val="0"/>
          <w:sz w:val="40"/>
          <w:szCs w:val="40"/>
        </w:rPr>
      </w:pPr>
    </w:p>
    <w:p w14:paraId="02D5B1F5">
      <w:pPr>
        <w:spacing w:after="100" w:afterAutospacing="1"/>
        <w:ind w:firstLine="800"/>
        <w:jc w:val="center"/>
        <w:rPr>
          <w:rFonts w:ascii="Tahoma" w:hAnsi="Tahoma" w:eastAsia="微软雅黑"/>
          <w:kern w:val="0"/>
          <w:sz w:val="40"/>
          <w:szCs w:val="40"/>
        </w:rPr>
      </w:pPr>
    </w:p>
    <w:p w14:paraId="5B18AE0A">
      <w:pPr>
        <w:spacing w:after="100" w:afterAutospacing="1"/>
        <w:ind w:firstLine="800"/>
        <w:jc w:val="center"/>
        <w:rPr>
          <w:rFonts w:ascii="Tahoma" w:hAnsi="Tahoma" w:eastAsia="微软雅黑"/>
          <w:kern w:val="0"/>
          <w:sz w:val="40"/>
          <w:szCs w:val="40"/>
        </w:rPr>
      </w:pPr>
    </w:p>
    <w:p w14:paraId="5CD98BA7">
      <w:pPr>
        <w:spacing w:after="100" w:afterAutospacing="1"/>
        <w:ind w:firstLine="800"/>
        <w:jc w:val="center"/>
        <w:rPr>
          <w:rFonts w:ascii="Tahoma" w:hAnsi="Tahoma" w:eastAsia="微软雅黑"/>
          <w:kern w:val="0"/>
          <w:sz w:val="40"/>
          <w:szCs w:val="40"/>
        </w:rPr>
      </w:pPr>
    </w:p>
    <w:p w14:paraId="20CF643B">
      <w:pPr>
        <w:spacing w:after="100" w:afterAutospacing="1"/>
        <w:ind w:firstLine="800"/>
        <w:jc w:val="center"/>
        <w:rPr>
          <w:rFonts w:ascii="Tahoma" w:hAnsi="Tahoma" w:eastAsia="微软雅黑"/>
          <w:kern w:val="0"/>
          <w:sz w:val="40"/>
          <w:szCs w:val="40"/>
        </w:rPr>
      </w:pPr>
    </w:p>
    <w:p w14:paraId="4F44E7C0">
      <w:pPr>
        <w:ind w:left="1498" w:firstLine="602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 北京建设信源资讯有限公司 </w:t>
      </w:r>
    </w:p>
    <w:p w14:paraId="217B930F">
      <w:pPr>
        <w:spacing w:after="100" w:afterAutospacing="1"/>
        <w:ind w:firstLine="3012" w:firstLineChars="100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二〇二五年十二月</w:t>
      </w:r>
    </w:p>
    <w:p w14:paraId="1CC565EA">
      <w:pPr>
        <w:widowControl/>
        <w:ind w:firstLine="602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14:paraId="5BE39613">
      <w:pPr>
        <w:pStyle w:val="13"/>
      </w:pPr>
      <w:r>
        <w:rPr>
          <w:rFonts w:hint="eastAsia"/>
        </w:rPr>
        <w:t>目 录</w:t>
      </w:r>
    </w:p>
    <w:p w14:paraId="45014F76">
      <w:pPr>
        <w:pStyle w:val="13"/>
        <w:tabs>
          <w:tab w:val="right" w:leader="dot" w:pos="8312"/>
          <w:tab w:val="clear" w:pos="8296"/>
        </w:tabs>
        <w:ind w:firstLine="480"/>
      </w:pPr>
      <w:r>
        <w:rPr>
          <w:rFonts w:hint="eastAsia" w:asciiTheme="majorEastAsia" w:hAnsiTheme="majorEastAsia" w:eastAsiaTheme="majorEastAsia"/>
          <w:sz w:val="24"/>
          <w:szCs w:val="21"/>
          <w:lang w:val="en-US" w:eastAsia="zh-CN"/>
        </w:rPr>
        <w:t xml:space="preserve">   </w:t>
      </w:r>
      <w:r>
        <w:rPr>
          <w:rFonts w:asciiTheme="majorEastAsia" w:hAnsiTheme="majorEastAsia" w:eastAsiaTheme="majorEastAsia"/>
          <w:sz w:val="24"/>
          <w:szCs w:val="21"/>
        </w:rPr>
        <w:fldChar w:fldCharType="begin"/>
      </w:r>
      <w:r>
        <w:rPr>
          <w:rFonts w:asciiTheme="majorEastAsia" w:hAnsiTheme="majorEastAsia" w:eastAsiaTheme="majorEastAsia"/>
          <w:sz w:val="24"/>
          <w:szCs w:val="21"/>
        </w:rPr>
        <w:instrText xml:space="preserve"> TOC \o "1-3" \h \z \u </w:instrText>
      </w:r>
      <w:r>
        <w:rPr>
          <w:rFonts w:asciiTheme="majorEastAsia" w:hAnsiTheme="majorEastAsia" w:eastAsiaTheme="majorEastAsia"/>
          <w:sz w:val="24"/>
          <w:szCs w:val="21"/>
        </w:rPr>
        <w:fldChar w:fldCharType="separate"/>
      </w:r>
      <w:r>
        <w:fldChar w:fldCharType="begin"/>
      </w:r>
      <w:r>
        <w:instrText xml:space="preserve"> HYPERLINK \l "_Toc15759" </w:instrText>
      </w:r>
      <w:r>
        <w:fldChar w:fldCharType="separate"/>
      </w:r>
      <w:r>
        <w:rPr>
          <w:rFonts w:hint="eastAsia"/>
        </w:rPr>
        <w:t>1、 系统环境要求</w:t>
      </w:r>
      <w:r>
        <w:tab/>
      </w:r>
      <w:r>
        <w:fldChar w:fldCharType="begin"/>
      </w:r>
      <w:r>
        <w:instrText xml:space="preserve"> PAGEREF _Toc15759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E5245AC">
      <w:pPr>
        <w:pStyle w:val="13"/>
        <w:tabs>
          <w:tab w:val="right" w:leader="dot" w:pos="8312"/>
          <w:tab w:val="clear" w:pos="8296"/>
        </w:tabs>
      </w:pPr>
      <w:r>
        <w:fldChar w:fldCharType="begin"/>
      </w:r>
      <w:r>
        <w:instrText xml:space="preserve"> HYPERLINK \l "_Toc21777" </w:instrText>
      </w:r>
      <w:r>
        <w:fldChar w:fldCharType="separate"/>
      </w:r>
      <w:r>
        <w:rPr>
          <w:rFonts w:hint="eastAsia"/>
        </w:rPr>
        <w:t>2、系统登录</w:t>
      </w:r>
      <w:r>
        <w:tab/>
      </w:r>
      <w:r>
        <w:fldChar w:fldCharType="begin"/>
      </w:r>
      <w:r>
        <w:instrText xml:space="preserve"> PAGEREF _Toc21777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1547AF3A">
      <w:pPr>
        <w:pStyle w:val="8"/>
        <w:tabs>
          <w:tab w:val="right" w:leader="dot" w:pos="8312"/>
        </w:tabs>
        <w:ind w:firstLine="440"/>
      </w:pPr>
      <w:r>
        <w:fldChar w:fldCharType="begin"/>
      </w:r>
      <w:r>
        <w:instrText xml:space="preserve"> HYPERLINK \l "_Toc794" </w:instrText>
      </w:r>
      <w:r>
        <w:fldChar w:fldCharType="separate"/>
      </w:r>
      <w:r>
        <w:rPr>
          <w:rFonts w:hint="eastAsia"/>
        </w:rPr>
        <w:t>2.1网址</w:t>
      </w:r>
      <w:r>
        <w:tab/>
      </w:r>
      <w:r>
        <w:fldChar w:fldCharType="begin"/>
      </w:r>
      <w:r>
        <w:instrText xml:space="preserve"> PAGEREF _Toc794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7A1A1271">
      <w:pPr>
        <w:pStyle w:val="8"/>
        <w:tabs>
          <w:tab w:val="right" w:leader="dot" w:pos="8312"/>
        </w:tabs>
        <w:ind w:firstLine="440"/>
      </w:pPr>
      <w:r>
        <w:fldChar w:fldCharType="begin"/>
      </w:r>
      <w:r>
        <w:instrText xml:space="preserve"> HYPERLINK \l "_Toc21374" </w:instrText>
      </w:r>
      <w:r>
        <w:fldChar w:fldCharType="separate"/>
      </w:r>
      <w:r>
        <w:rPr>
          <w:rFonts w:hint="eastAsia"/>
        </w:rPr>
        <w:t>2.2登录</w:t>
      </w:r>
      <w:r>
        <w:tab/>
      </w:r>
      <w:r>
        <w:fldChar w:fldCharType="begin"/>
      </w:r>
      <w:r>
        <w:instrText xml:space="preserve"> PAGEREF _Toc21374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542791A">
      <w:pPr>
        <w:pStyle w:val="13"/>
        <w:tabs>
          <w:tab w:val="right" w:leader="dot" w:pos="8312"/>
          <w:tab w:val="clear" w:pos="8296"/>
        </w:tabs>
      </w:pPr>
      <w:r>
        <w:fldChar w:fldCharType="begin"/>
      </w:r>
      <w:r>
        <w:instrText xml:space="preserve"> HYPERLINK \l "_Toc27205" </w:instrText>
      </w:r>
      <w:r>
        <w:fldChar w:fldCharType="separate"/>
      </w:r>
      <w:r>
        <w:rPr>
          <w:rFonts w:hint="eastAsia"/>
        </w:rPr>
        <w:t>3、功能详细说明</w:t>
      </w:r>
      <w:r>
        <w:tab/>
      </w:r>
      <w:r>
        <w:fldChar w:fldCharType="begin"/>
      </w:r>
      <w:r>
        <w:instrText xml:space="preserve"> PAGEREF _Toc27205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722CC49E">
      <w:pPr>
        <w:pStyle w:val="8"/>
        <w:tabs>
          <w:tab w:val="right" w:leader="dot" w:pos="8312"/>
        </w:tabs>
        <w:ind w:firstLine="440"/>
      </w:pPr>
      <w:r>
        <w:fldChar w:fldCharType="begin"/>
      </w:r>
      <w:r>
        <w:instrText xml:space="preserve"> HYPERLINK \l "_Toc1994" </w:instrText>
      </w:r>
      <w:r>
        <w:fldChar w:fldCharType="separate"/>
      </w:r>
      <w:r>
        <w:rPr>
          <w:rFonts w:hint="eastAsia"/>
        </w:rPr>
        <w:t>3</w:t>
      </w:r>
      <w:r>
        <w:t>.1</w:t>
      </w:r>
      <w:r>
        <w:rPr>
          <w:rFonts w:hint="eastAsia"/>
        </w:rPr>
        <w:t>、从业人员信息</w:t>
      </w:r>
      <w:r>
        <w:tab/>
      </w:r>
      <w:r>
        <w:fldChar w:fldCharType="begin"/>
      </w:r>
      <w:r>
        <w:instrText xml:space="preserve"> PAGEREF _Toc1994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3A7FCA00">
      <w:pPr>
        <w:pStyle w:val="14"/>
        <w:spacing w:line="240" w:lineRule="auto"/>
        <w:ind w:left="0" w:leftChars="0" w:firstLine="1080" w:firstLineChars="0"/>
        <w:rPr>
          <w:rFonts w:hint="eastAsia"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fldChar w:fldCharType="end"/>
      </w:r>
    </w:p>
    <w:p w14:paraId="53752B5B">
      <w:pPr>
        <w:ind w:firstLine="420"/>
      </w:pPr>
    </w:p>
    <w:p w14:paraId="510D153A">
      <w:pPr>
        <w:ind w:firstLine="420"/>
      </w:pPr>
    </w:p>
    <w:p w14:paraId="7DF443BC">
      <w:pPr>
        <w:ind w:firstLine="420"/>
      </w:pPr>
    </w:p>
    <w:p w14:paraId="1ED77231">
      <w:pPr>
        <w:ind w:firstLine="420"/>
      </w:pPr>
    </w:p>
    <w:p w14:paraId="4A44950C">
      <w:pPr>
        <w:ind w:firstLine="420"/>
      </w:pPr>
    </w:p>
    <w:p w14:paraId="4416BFA1">
      <w:pPr>
        <w:ind w:firstLine="420"/>
      </w:pPr>
    </w:p>
    <w:p w14:paraId="37C26E43">
      <w:pPr>
        <w:ind w:firstLine="420"/>
      </w:pPr>
    </w:p>
    <w:p w14:paraId="390CD3F6">
      <w:pPr>
        <w:ind w:firstLine="420"/>
      </w:pPr>
    </w:p>
    <w:p w14:paraId="3C2C531E">
      <w:pPr>
        <w:ind w:firstLine="420"/>
      </w:pPr>
    </w:p>
    <w:p w14:paraId="0B7D7C12">
      <w:pPr>
        <w:ind w:firstLine="420"/>
      </w:pPr>
    </w:p>
    <w:p w14:paraId="680D6DAB">
      <w:pPr>
        <w:ind w:firstLine="420"/>
      </w:pPr>
    </w:p>
    <w:p w14:paraId="66351CA0">
      <w:pPr>
        <w:ind w:firstLine="420"/>
      </w:pPr>
    </w:p>
    <w:p w14:paraId="1E98085C">
      <w:pPr>
        <w:ind w:firstLine="420"/>
      </w:pPr>
    </w:p>
    <w:p w14:paraId="498569EB">
      <w:pPr>
        <w:ind w:firstLine="420"/>
      </w:pPr>
    </w:p>
    <w:p w14:paraId="1E3D3490">
      <w:pPr>
        <w:ind w:firstLine="420"/>
      </w:pPr>
    </w:p>
    <w:p w14:paraId="2D164A23">
      <w:pPr>
        <w:ind w:firstLine="420"/>
      </w:pPr>
    </w:p>
    <w:p w14:paraId="4B26E1AD">
      <w:pPr>
        <w:ind w:firstLine="420"/>
      </w:pPr>
    </w:p>
    <w:p w14:paraId="25C10D0F">
      <w:pPr>
        <w:ind w:firstLine="420"/>
      </w:pPr>
      <w:bookmarkStart w:id="11" w:name="_GoBack"/>
      <w:bookmarkEnd w:id="11"/>
    </w:p>
    <w:p w14:paraId="6311ACFB">
      <w:pPr>
        <w:ind w:firstLine="420"/>
      </w:pPr>
    </w:p>
    <w:p w14:paraId="27B40381">
      <w:pPr>
        <w:pStyle w:val="2"/>
        <w:numPr>
          <w:ilvl w:val="0"/>
          <w:numId w:val="1"/>
        </w:numPr>
        <w:ind w:firstLine="723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type w:val="continuous"/>
          <w:pgSz w:w="11906" w:h="16838"/>
          <w:pgMar w:top="1440" w:right="1797" w:bottom="1440" w:left="1797" w:header="851" w:footer="992" w:gutter="0"/>
          <w:cols w:space="425" w:num="1"/>
          <w:docGrid w:type="lines" w:linePitch="312" w:charSpace="0"/>
        </w:sectPr>
      </w:pPr>
      <w:bookmarkStart w:id="0" w:name="_Toc15759"/>
      <w:bookmarkStart w:id="1" w:name="_Toc531682947"/>
      <w:bookmarkStart w:id="2" w:name="_Toc514062226"/>
    </w:p>
    <w:p w14:paraId="38260A53">
      <w:pPr>
        <w:pStyle w:val="2"/>
        <w:numPr>
          <w:ilvl w:val="0"/>
          <w:numId w:val="1"/>
        </w:numPr>
        <w:ind w:firstLine="723"/>
      </w:pPr>
      <w:r>
        <w:rPr>
          <w:rFonts w:hint="eastAsia"/>
        </w:rPr>
        <w:t>系统环境要求</w:t>
      </w:r>
      <w:bookmarkEnd w:id="0"/>
    </w:p>
    <w:p w14:paraId="2666F6A2">
      <w:pPr>
        <w:spacing w:line="360" w:lineRule="auto"/>
        <w:ind w:firstLine="420"/>
      </w:pPr>
      <w:r>
        <w:rPr>
          <w:rFonts w:hint="eastAsia"/>
        </w:rPr>
        <w:t xml:space="preserve">1.1浏览器 </w:t>
      </w:r>
    </w:p>
    <w:p w14:paraId="57106E94">
      <w:pPr>
        <w:spacing w:line="360" w:lineRule="auto"/>
        <w:ind w:firstLine="420"/>
      </w:pPr>
      <w:r>
        <w:rPr>
          <w:rFonts w:hint="eastAsia"/>
        </w:rPr>
        <w:t xml:space="preserve">建议使用谷歌浏览器，其他浏览器可能出现未知不兼容情况 </w:t>
      </w:r>
    </w:p>
    <w:p w14:paraId="2C6F19C7">
      <w:pPr>
        <w:spacing w:line="360" w:lineRule="auto"/>
        <w:ind w:firstLine="420"/>
      </w:pPr>
      <w:r>
        <w:rPr>
          <w:rFonts w:hint="eastAsia"/>
        </w:rPr>
        <w:t xml:space="preserve">1.2 网络建议 </w:t>
      </w:r>
    </w:p>
    <w:p w14:paraId="3D3CC45B">
      <w:pPr>
        <w:spacing w:line="360" w:lineRule="auto"/>
        <w:ind w:firstLine="422"/>
        <w:rPr>
          <w:b/>
          <w:bCs/>
        </w:rPr>
      </w:pPr>
      <w:r>
        <w:rPr>
          <w:rFonts w:hint="eastAsia"/>
          <w:b/>
          <w:bCs/>
        </w:rPr>
        <w:t>建议 10M/100M 及以上以太网</w:t>
      </w:r>
    </w:p>
    <w:p w14:paraId="5F45A176">
      <w:pPr>
        <w:pStyle w:val="2"/>
        <w:ind w:firstLine="723"/>
      </w:pPr>
      <w:bookmarkStart w:id="3" w:name="_Toc21777"/>
      <w:r>
        <w:rPr>
          <w:rFonts w:hint="eastAsia"/>
        </w:rPr>
        <w:t>2、系统登录</w:t>
      </w:r>
      <w:bookmarkEnd w:id="1"/>
      <w:bookmarkEnd w:id="2"/>
      <w:bookmarkEnd w:id="3"/>
    </w:p>
    <w:p w14:paraId="0D5013DF">
      <w:pPr>
        <w:pStyle w:val="4"/>
        <w:ind w:firstLine="643"/>
      </w:pPr>
      <w:bookmarkStart w:id="4" w:name="_Toc794"/>
      <w:r>
        <w:rPr>
          <w:rFonts w:hint="eastAsia"/>
        </w:rPr>
        <w:t>2.1网址</w:t>
      </w:r>
      <w:bookmarkEnd w:id="4"/>
    </w:p>
    <w:p w14:paraId="541709FB">
      <w:pPr>
        <w:spacing w:line="360" w:lineRule="auto"/>
        <w:ind w:firstLine="420"/>
      </w:pPr>
      <w:r>
        <w:fldChar w:fldCharType="begin"/>
      </w:r>
      <w:r>
        <w:instrText xml:space="preserve"> HYPERLINK "http://125.32.11.44:82/webserver/app_zbdl/index.html" \t "_blank" </w:instrText>
      </w:r>
      <w:r>
        <w:fldChar w:fldCharType="separate"/>
      </w:r>
      <w:r>
        <w:t>http://125.32.11.44:8</w:t>
      </w:r>
      <w:r>
        <w:rPr>
          <w:rFonts w:hint="eastAsia"/>
        </w:rPr>
        <w:t>1</w:t>
      </w:r>
      <w:r>
        <w:t>/webserver/app_zb/index.html</w:t>
      </w:r>
      <w:r>
        <w:fldChar w:fldCharType="end"/>
      </w:r>
    </w:p>
    <w:p w14:paraId="12E6D653">
      <w:pPr>
        <w:pStyle w:val="4"/>
        <w:ind w:firstLine="643"/>
      </w:pPr>
      <w:bookmarkStart w:id="5" w:name="_Toc21374"/>
      <w:r>
        <w:rPr>
          <w:rFonts w:hint="eastAsia"/>
        </w:rPr>
        <w:t>2.2登录</w:t>
      </w:r>
      <w:bookmarkEnd w:id="5"/>
    </w:p>
    <w:p w14:paraId="3CB8F675">
      <w:pPr>
        <w:spacing w:line="360" w:lineRule="auto"/>
        <w:ind w:firstLine="420"/>
      </w:pPr>
      <w:r>
        <w:rPr>
          <w:rFonts w:hint="eastAsia"/>
        </w:rPr>
        <w:t>第一步：</w:t>
      </w:r>
      <w:r>
        <w:rPr>
          <w:rFonts w:hint="eastAsia"/>
          <w:lang w:val="en-US" w:eastAsia="zh-CN"/>
        </w:rPr>
        <w:t>个人</w:t>
      </w:r>
      <w:r>
        <w:rPr>
          <w:rFonts w:hint="eastAsia"/>
        </w:rPr>
        <w:t>登陆网址点击“</w:t>
      </w:r>
      <w:r>
        <w:rPr>
          <w:rFonts w:hint="eastAsia"/>
          <w:lang w:val="en-US" w:eastAsia="zh-CN"/>
        </w:rPr>
        <w:t>个人</w:t>
      </w:r>
      <w:r>
        <w:rPr>
          <w:rFonts w:hint="eastAsia"/>
        </w:rPr>
        <w:t>登录”按钮。如下图2-1所示：</w:t>
      </w:r>
    </w:p>
    <w:p w14:paraId="1ED3CB36">
      <w:pPr>
        <w:adjustRightInd w:val="0"/>
        <w:snapToGrid w:val="0"/>
        <w:spacing w:line="360" w:lineRule="auto"/>
        <w:ind w:firstLine="0" w:firstLineChars="0"/>
        <w:jc w:val="center"/>
        <w:rPr>
          <w:rFonts w:ascii="宋体" w:eastAsia="宋体" w:cs="宋体"/>
          <w:color w:val="000000"/>
          <w:kern w:val="0"/>
          <w:sz w:val="18"/>
          <w:szCs w:val="18"/>
          <w:lang w:val="zh-CN"/>
        </w:rPr>
      </w:pPr>
      <w:r>
        <w:drawing>
          <wp:inline distT="0" distB="0" distL="114300" distR="114300">
            <wp:extent cx="4350385" cy="241427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71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78EE4"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楷体" w:hAnsi="楷体" w:eastAsia="楷体" w:cs="宋体"/>
          <w:color w:val="000000"/>
          <w:kern w:val="0"/>
          <w:sz w:val="18"/>
          <w:szCs w:val="18"/>
          <w:lang w:val="zh-CN"/>
        </w:rPr>
      </w:pPr>
      <w:r>
        <w:rPr>
          <w:rFonts w:hint="eastAsia" w:ascii="楷体" w:hAnsi="楷体" w:eastAsia="楷体" w:cs="宋体"/>
          <w:color w:val="000000"/>
          <w:kern w:val="0"/>
          <w:sz w:val="18"/>
          <w:szCs w:val="18"/>
          <w:lang w:val="zh-CN"/>
        </w:rPr>
        <w:t>图2-1系统登录</w:t>
      </w:r>
    </w:p>
    <w:p w14:paraId="0EA1841E">
      <w:pPr>
        <w:ind w:firstLine="420"/>
        <w:rPr>
          <w:lang w:val="zh-CN"/>
        </w:rPr>
      </w:pPr>
    </w:p>
    <w:p w14:paraId="0FD4C123">
      <w:pPr>
        <w:tabs>
          <w:tab w:val="left" w:pos="2547"/>
        </w:tabs>
        <w:ind w:firstLine="420"/>
        <w:jc w:val="left"/>
        <w:rPr>
          <w:rFonts w:hint="eastAsia"/>
        </w:rPr>
      </w:pPr>
      <w:r>
        <w:rPr>
          <w:rFonts w:hint="eastAsia"/>
        </w:rPr>
        <w:t>第二步：点击“</w:t>
      </w:r>
      <w:r>
        <w:rPr>
          <w:rFonts w:hint="eastAsia"/>
          <w:lang w:val="en-US" w:eastAsia="zh-CN"/>
        </w:rPr>
        <w:t>个人</w:t>
      </w:r>
      <w:r>
        <w:rPr>
          <w:rFonts w:hint="eastAsia"/>
        </w:rPr>
        <w:t>登录”按钮后跳转至“吉林省统一身份认证平台”，输入该平台账号及密码点击“登录”按钮，跳转至“</w:t>
      </w:r>
      <w:r>
        <w:t>吉林省工程建设项目招标代理机构管理服务信息系统</w:t>
      </w:r>
      <w:r>
        <w:rPr>
          <w:rFonts w:hint="eastAsia"/>
        </w:rPr>
        <w:t>”首页。如下图2-2所示；</w:t>
      </w:r>
    </w:p>
    <w:p w14:paraId="65562AB8">
      <w:pPr>
        <w:tabs>
          <w:tab w:val="left" w:pos="2547"/>
        </w:tabs>
        <w:ind w:firstLine="420"/>
        <w:jc w:val="center"/>
      </w:pPr>
      <w:r>
        <w:drawing>
          <wp:inline distT="0" distB="0" distL="114300" distR="114300">
            <wp:extent cx="4350385" cy="2414270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71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1BB0C"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楷体" w:hAnsi="楷体" w:eastAsia="楷体" w:cs="宋体"/>
          <w:color w:val="000000"/>
          <w:kern w:val="0"/>
          <w:sz w:val="18"/>
          <w:szCs w:val="18"/>
        </w:rPr>
      </w:pPr>
      <w:r>
        <w:rPr>
          <w:rFonts w:hint="eastAsia" w:ascii="楷体" w:hAnsi="楷体" w:eastAsia="楷体" w:cs="宋体"/>
          <w:color w:val="000000"/>
          <w:kern w:val="0"/>
          <w:sz w:val="18"/>
          <w:szCs w:val="18"/>
          <w:lang w:val="zh-CN"/>
        </w:rPr>
        <w:t>图2-</w:t>
      </w:r>
      <w:r>
        <w:rPr>
          <w:rFonts w:hint="eastAsia" w:ascii="楷体" w:hAnsi="楷体" w:eastAsia="楷体" w:cs="宋体"/>
          <w:color w:val="000000"/>
          <w:kern w:val="0"/>
          <w:sz w:val="18"/>
          <w:szCs w:val="18"/>
        </w:rPr>
        <w:t>2</w:t>
      </w:r>
      <w:r>
        <w:rPr>
          <w:rFonts w:hint="eastAsia" w:ascii="楷体" w:hAnsi="楷体" w:eastAsia="楷体" w:cs="宋体"/>
          <w:color w:val="000000"/>
          <w:kern w:val="0"/>
          <w:sz w:val="18"/>
          <w:szCs w:val="18"/>
          <w:lang w:val="en-US" w:eastAsia="zh-CN"/>
        </w:rPr>
        <w:t>吉林</w:t>
      </w:r>
      <w:r>
        <w:rPr>
          <w:rFonts w:hint="eastAsia" w:ascii="楷体" w:hAnsi="楷体" w:eastAsia="楷体" w:cs="宋体"/>
          <w:color w:val="000000"/>
          <w:kern w:val="0"/>
          <w:sz w:val="18"/>
          <w:szCs w:val="18"/>
        </w:rPr>
        <w:t>省统一身份认证平台登录页</w:t>
      </w:r>
    </w:p>
    <w:p w14:paraId="7E618BE7">
      <w:pPr>
        <w:pStyle w:val="2"/>
        <w:ind w:firstLine="0" w:firstLineChars="0"/>
      </w:pPr>
      <w:bookmarkStart w:id="6" w:name="_Toc531682948"/>
      <w:bookmarkStart w:id="7" w:name="_Toc27205"/>
      <w:r>
        <w:rPr>
          <w:rFonts w:hint="eastAsia"/>
        </w:rPr>
        <w:t>3、</w:t>
      </w:r>
      <w:bookmarkEnd w:id="6"/>
      <w:r>
        <w:rPr>
          <w:rFonts w:hint="eastAsia"/>
        </w:rPr>
        <w:t>功能详细说明</w:t>
      </w:r>
      <w:bookmarkEnd w:id="7"/>
    </w:p>
    <w:p w14:paraId="7F41273B">
      <w:pPr>
        <w:tabs>
          <w:tab w:val="left" w:pos="2547"/>
        </w:tabs>
        <w:ind w:firstLine="420"/>
        <w:jc w:val="left"/>
      </w:pPr>
      <w:r>
        <w:rPr>
          <w:rFonts w:hint="eastAsia"/>
        </w:rPr>
        <w:t>这里介绍各个模块的操作说明：</w:t>
      </w:r>
    </w:p>
    <w:p w14:paraId="018B0EA1">
      <w:pPr>
        <w:pStyle w:val="4"/>
        <w:ind w:firstLine="643"/>
        <w:rPr>
          <w:b w:val="0"/>
          <w:bCs w:val="0"/>
          <w:sz w:val="21"/>
          <w:szCs w:val="22"/>
        </w:rPr>
      </w:pPr>
      <w:bookmarkStart w:id="8" w:name="_Toc531682949"/>
      <w:bookmarkStart w:id="9" w:name="_Toc1994"/>
      <w:r>
        <w:rPr>
          <w:rFonts w:hint="eastAsia"/>
        </w:rPr>
        <w:t>3</w:t>
      </w:r>
      <w:r>
        <w:t>.1</w:t>
      </w:r>
      <w:r>
        <w:rPr>
          <w:rFonts w:hint="eastAsia"/>
        </w:rPr>
        <w:t>、</w:t>
      </w:r>
      <w:bookmarkEnd w:id="8"/>
      <w:r>
        <w:rPr>
          <w:rFonts w:hint="eastAsia"/>
        </w:rPr>
        <w:t>从业人员信息</w:t>
      </w:r>
      <w:bookmarkEnd w:id="9"/>
    </w:p>
    <w:p w14:paraId="4EBCE445">
      <w:pPr>
        <w:tabs>
          <w:tab w:val="left" w:pos="2547"/>
        </w:tabs>
        <w:ind w:left="0" w:leftChars="0" w:firstLine="420" w:firstLineChars="200"/>
        <w:jc w:val="left"/>
      </w:pPr>
      <w:r>
        <w:rPr>
          <w:rFonts w:hint="eastAsia"/>
        </w:rPr>
        <w:t>该模块主要是登记确认、登记变更确认，人员调离和从业人员行政处罚查询功能。</w:t>
      </w:r>
    </w:p>
    <w:p w14:paraId="3F8E043C">
      <w:pPr>
        <w:tabs>
          <w:tab w:val="left" w:pos="2547"/>
        </w:tabs>
        <w:ind w:firstLine="420"/>
        <w:jc w:val="left"/>
      </w:pPr>
      <w:r>
        <w:rPr>
          <w:rFonts w:hint="eastAsia"/>
        </w:rPr>
        <w:t>点击左侧导航【</w:t>
      </w:r>
      <w:r>
        <w:rPr>
          <w:rFonts w:hint="eastAsia"/>
          <w:color w:val="0000FF"/>
        </w:rPr>
        <w:t>从业人员信息</w:t>
      </w:r>
      <w:r>
        <w:rPr>
          <w:rFonts w:hint="eastAsia"/>
        </w:rPr>
        <w:t>】，进入从业人员信息功能页面。如下图3-1所示：</w:t>
      </w:r>
    </w:p>
    <w:p w14:paraId="46453695">
      <w:pPr>
        <w:tabs>
          <w:tab w:val="left" w:pos="2547"/>
        </w:tabs>
        <w:ind w:firstLine="0" w:firstLineChars="0"/>
        <w:jc w:val="left"/>
      </w:pPr>
      <w:r>
        <w:drawing>
          <wp:inline distT="0" distB="0" distL="114300" distR="114300">
            <wp:extent cx="5266690" cy="1155065"/>
            <wp:effectExtent l="0" t="0" r="10160" b="698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61FAE">
      <w:pPr>
        <w:tabs>
          <w:tab w:val="left" w:pos="2547"/>
        </w:tabs>
        <w:ind w:firstLine="0" w:firstLineChars="0"/>
        <w:jc w:val="left"/>
      </w:pPr>
    </w:p>
    <w:p w14:paraId="684BC23A">
      <w:pPr>
        <w:ind w:firstLine="0" w:firstLineChars="0"/>
        <w:jc w:val="center"/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 从业人员信息主页面</w:t>
      </w:r>
    </w:p>
    <w:p w14:paraId="3D670B94">
      <w:pPr>
        <w:pStyle w:val="5"/>
        <w:ind w:firstLine="562"/>
      </w:pPr>
      <w:r>
        <w:rPr>
          <w:rFonts w:hint="eastAsia"/>
        </w:rPr>
        <w:t>3.1.1、登记确认</w:t>
      </w:r>
    </w:p>
    <w:p w14:paraId="353404CF">
      <w:pPr>
        <w:tabs>
          <w:tab w:val="left" w:pos="2547"/>
        </w:tabs>
        <w:ind w:firstLine="420"/>
        <w:jc w:val="left"/>
      </w:pPr>
      <w:r>
        <w:rPr>
          <w:rFonts w:hint="eastAsia"/>
        </w:rPr>
        <w:t>点击导航【</w:t>
      </w:r>
      <w:r>
        <w:rPr>
          <w:rFonts w:hint="eastAsia"/>
          <w:color w:val="0000FF"/>
        </w:rPr>
        <w:t>登记确认</w:t>
      </w:r>
      <w:r>
        <w:rPr>
          <w:rFonts w:hint="eastAsia"/>
        </w:rPr>
        <w:t>】。如下图3-1-1所示：</w:t>
      </w:r>
    </w:p>
    <w:p w14:paraId="27A93D16">
      <w:pPr>
        <w:ind w:firstLine="0" w:firstLineChars="0"/>
      </w:pPr>
      <w:r>
        <w:drawing>
          <wp:inline distT="0" distB="0" distL="0" distR="0">
            <wp:extent cx="5278120" cy="1042035"/>
            <wp:effectExtent l="0" t="0" r="0" b="0"/>
            <wp:docPr id="2014421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42118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93E33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-1-1 登记确认导航</w:t>
      </w:r>
    </w:p>
    <w:p w14:paraId="6BF3EFC2">
      <w:pPr>
        <w:tabs>
          <w:tab w:val="left" w:pos="2547"/>
        </w:tabs>
        <w:ind w:firstLine="420"/>
        <w:jc w:val="left"/>
      </w:pPr>
      <w:r>
        <w:rPr>
          <w:rFonts w:hint="eastAsia"/>
        </w:rPr>
        <w:t>进入登记确认通用列表。如下图3-1-2所示：</w:t>
      </w:r>
    </w:p>
    <w:p w14:paraId="0841DF63">
      <w:pPr>
        <w:ind w:firstLine="0" w:firstLineChars="0"/>
        <w:jc w:val="center"/>
      </w:pPr>
      <w:r>
        <w:drawing>
          <wp:inline distT="0" distB="0" distL="114300" distR="114300">
            <wp:extent cx="5268595" cy="11417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4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3A0D2">
      <w:pPr>
        <w:ind w:firstLine="0" w:firstLineChars="0"/>
        <w:jc w:val="center"/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-1-2 登记确认通用列表</w:t>
      </w:r>
    </w:p>
    <w:p w14:paraId="0BDD798D">
      <w:pPr>
        <w:ind w:firstLine="420"/>
      </w:pPr>
      <w:r>
        <w:rPr>
          <w:rFonts w:hint="eastAsia"/>
        </w:rPr>
        <w:t>点击“</w:t>
      </w:r>
      <w:r>
        <w:rPr>
          <w:rFonts w:hint="eastAsia"/>
          <w:color w:val="0000FF"/>
        </w:rPr>
        <w:t>确认</w:t>
      </w:r>
      <w:r>
        <w:rPr>
          <w:rFonts w:hint="eastAsia"/>
        </w:rPr>
        <w:t>”按钮，进行信息确认，确认通过后企业才可以进行上报。3-1-3所示：</w:t>
      </w:r>
    </w:p>
    <w:p w14:paraId="4A8CC0DB">
      <w:pPr>
        <w:ind w:firstLine="0" w:firstLineChars="0"/>
      </w:pPr>
      <w:r>
        <w:drawing>
          <wp:inline distT="0" distB="0" distL="114300" distR="114300">
            <wp:extent cx="5266690" cy="9848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t="261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8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F78F6">
      <w:pPr>
        <w:ind w:firstLine="0" w:firstLineChars="0"/>
        <w:jc w:val="center"/>
      </w:pPr>
      <w:r>
        <w:rPr>
          <w:rFonts w:hint="eastAsia" w:ascii="楷体" w:hAnsi="楷体" w:eastAsia="楷体"/>
        </w:rPr>
        <w:t>图3-1-3 确认按钮</w:t>
      </w:r>
    </w:p>
    <w:p w14:paraId="76604251">
      <w:pPr>
        <w:ind w:firstLine="420"/>
      </w:pPr>
      <w:r>
        <w:rPr>
          <w:rFonts w:hint="eastAsia"/>
          <w:lang w:val="zh-CN"/>
        </w:rPr>
        <w:t>点击</w:t>
      </w:r>
      <w:r>
        <w:rPr>
          <w:rFonts w:hint="eastAsia"/>
          <w:color w:val="0000FF"/>
        </w:rPr>
        <w:t>“查看”</w:t>
      </w:r>
      <w:r>
        <w:rPr>
          <w:rFonts w:hint="eastAsia"/>
        </w:rPr>
        <w:t>按钮，可以查看详细信息。如下图3-1-4所示：</w:t>
      </w:r>
    </w:p>
    <w:p w14:paraId="65DD0C2B">
      <w:pPr>
        <w:ind w:firstLine="0" w:firstLineChars="0"/>
      </w:pPr>
      <w:r>
        <w:drawing>
          <wp:inline distT="0" distB="0" distL="114300" distR="114300">
            <wp:extent cx="5266055" cy="9410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4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8B971">
      <w:pPr>
        <w:ind w:firstLine="0" w:firstLineChars="0"/>
      </w:pPr>
      <w:r>
        <w:drawing>
          <wp:inline distT="0" distB="0" distL="114300" distR="114300">
            <wp:extent cx="5266690" cy="1011555"/>
            <wp:effectExtent l="0" t="0" r="1016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F0C80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图3-1-4 查看按钮</w:t>
      </w:r>
    </w:p>
    <w:p w14:paraId="666F6C6E">
      <w:pPr>
        <w:pStyle w:val="5"/>
        <w:ind w:firstLine="562"/>
      </w:pPr>
      <w:r>
        <w:rPr>
          <w:rFonts w:hint="eastAsia"/>
        </w:rPr>
        <w:t>3.1.2、登记变更确认</w:t>
      </w:r>
    </w:p>
    <w:p w14:paraId="5B9FA162">
      <w:pPr>
        <w:tabs>
          <w:tab w:val="left" w:pos="2547"/>
        </w:tabs>
        <w:ind w:firstLine="420"/>
        <w:jc w:val="left"/>
      </w:pPr>
      <w:r>
        <w:rPr>
          <w:rFonts w:hint="eastAsia"/>
        </w:rPr>
        <w:t>点击导航【</w:t>
      </w:r>
      <w:r>
        <w:rPr>
          <w:rFonts w:hint="eastAsia"/>
          <w:color w:val="0000FF"/>
        </w:rPr>
        <w:t>登记变更确认</w:t>
      </w:r>
      <w:r>
        <w:rPr>
          <w:rFonts w:hint="eastAsia"/>
        </w:rPr>
        <w:t>】。如下图3-1-5所示：</w:t>
      </w:r>
    </w:p>
    <w:p w14:paraId="15FF1C3F">
      <w:pPr>
        <w:ind w:firstLine="0" w:firstLineChars="0"/>
      </w:pPr>
      <w:r>
        <w:drawing>
          <wp:inline distT="0" distB="0" distL="114300" distR="114300">
            <wp:extent cx="5266690" cy="1001395"/>
            <wp:effectExtent l="0" t="0" r="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0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B6916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-1-5 登记变更确认导航</w:t>
      </w:r>
    </w:p>
    <w:p w14:paraId="402B66C8">
      <w:pPr>
        <w:tabs>
          <w:tab w:val="left" w:pos="2547"/>
        </w:tabs>
        <w:ind w:firstLine="420"/>
        <w:jc w:val="left"/>
      </w:pPr>
      <w:r>
        <w:rPr>
          <w:rFonts w:hint="eastAsia"/>
        </w:rPr>
        <w:t>进入登记变更确认通用列表。如下图3-1-6所示：</w:t>
      </w:r>
    </w:p>
    <w:p w14:paraId="5C12CED0">
      <w:pPr>
        <w:ind w:firstLine="0" w:firstLineChars="0"/>
        <w:jc w:val="center"/>
      </w:pPr>
      <w:r>
        <w:drawing>
          <wp:inline distT="0" distB="0" distL="114300" distR="114300">
            <wp:extent cx="5276850" cy="1064895"/>
            <wp:effectExtent l="0" t="0" r="0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6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4D854">
      <w:pPr>
        <w:ind w:firstLine="0" w:firstLineChars="0"/>
        <w:jc w:val="center"/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-1-6 登记变更确认通用列表</w:t>
      </w:r>
    </w:p>
    <w:p w14:paraId="613BF564">
      <w:pPr>
        <w:ind w:firstLine="420"/>
      </w:pPr>
      <w:r>
        <w:rPr>
          <w:rFonts w:hint="eastAsia"/>
        </w:rPr>
        <w:t>点击“</w:t>
      </w:r>
      <w:r>
        <w:rPr>
          <w:rFonts w:hint="eastAsia"/>
          <w:color w:val="0000FF"/>
        </w:rPr>
        <w:t>确认</w:t>
      </w:r>
      <w:r>
        <w:rPr>
          <w:rFonts w:hint="eastAsia"/>
        </w:rPr>
        <w:t>”按钮，进行信息确认，确认通过后企业才可以进行上报。3-1-7所示：</w:t>
      </w:r>
    </w:p>
    <w:p w14:paraId="5441E63A">
      <w:pPr>
        <w:ind w:firstLine="0" w:firstLineChars="0"/>
      </w:pPr>
      <w:r>
        <w:drawing>
          <wp:inline distT="0" distB="0" distL="114300" distR="114300">
            <wp:extent cx="5266690" cy="749935"/>
            <wp:effectExtent l="0" t="0" r="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rcRect t="286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A244B">
      <w:pPr>
        <w:ind w:firstLine="0" w:firstLineChars="0"/>
        <w:jc w:val="center"/>
      </w:pPr>
      <w:r>
        <w:rPr>
          <w:rFonts w:hint="eastAsia" w:ascii="楷体" w:hAnsi="楷体" w:eastAsia="楷体"/>
        </w:rPr>
        <w:t>图3-1-7 确认按钮</w:t>
      </w:r>
    </w:p>
    <w:p w14:paraId="0EBF60AA">
      <w:pPr>
        <w:ind w:firstLine="420"/>
      </w:pPr>
      <w:r>
        <w:rPr>
          <w:rFonts w:hint="eastAsia"/>
          <w:lang w:val="zh-CN"/>
        </w:rPr>
        <w:t>点击</w:t>
      </w:r>
      <w:r>
        <w:rPr>
          <w:rFonts w:hint="eastAsia"/>
          <w:color w:val="0000FF"/>
        </w:rPr>
        <w:t>“查看”</w:t>
      </w:r>
      <w:r>
        <w:rPr>
          <w:rFonts w:hint="eastAsia"/>
        </w:rPr>
        <w:t>按钮，可以查看详细信息。如下图3-1-8所示：</w:t>
      </w:r>
    </w:p>
    <w:p w14:paraId="5EEC0058">
      <w:pPr>
        <w:ind w:firstLine="0" w:firstLineChars="0"/>
      </w:pPr>
      <w:r>
        <w:drawing>
          <wp:inline distT="0" distB="0" distL="114300" distR="114300">
            <wp:extent cx="5106035" cy="1022350"/>
            <wp:effectExtent l="0" t="0" r="0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34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022985"/>
            <wp:effectExtent l="0" t="0" r="10160" b="571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61EB7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图3-1-8 查看按钮</w:t>
      </w:r>
    </w:p>
    <w:p w14:paraId="176517CB">
      <w:pPr>
        <w:pStyle w:val="5"/>
        <w:ind w:firstLine="562"/>
      </w:pPr>
      <w:bookmarkStart w:id="10" w:name="_Toc531682954"/>
      <w:r>
        <w:rPr>
          <w:rFonts w:hint="eastAsia"/>
        </w:rPr>
        <w:t>3.1.3、人员调离</w:t>
      </w:r>
    </w:p>
    <w:p w14:paraId="1C4E7AE6">
      <w:pPr>
        <w:tabs>
          <w:tab w:val="left" w:pos="2547"/>
        </w:tabs>
        <w:ind w:firstLine="420"/>
        <w:jc w:val="left"/>
      </w:pPr>
      <w:r>
        <w:rPr>
          <w:rFonts w:hint="eastAsia"/>
        </w:rPr>
        <w:t>点击导航【</w:t>
      </w:r>
      <w:r>
        <w:rPr>
          <w:rFonts w:hint="eastAsia"/>
          <w:color w:val="0000FF"/>
        </w:rPr>
        <w:t>人员调离</w:t>
      </w:r>
      <w:r>
        <w:rPr>
          <w:rFonts w:hint="eastAsia"/>
        </w:rPr>
        <w:t>】。如下图3-1-9所示：</w:t>
      </w:r>
    </w:p>
    <w:p w14:paraId="09CD8D38">
      <w:pPr>
        <w:ind w:firstLine="0" w:firstLineChars="0"/>
      </w:pPr>
      <w:r>
        <w:drawing>
          <wp:inline distT="0" distB="0" distL="114300" distR="114300">
            <wp:extent cx="5271770" cy="958850"/>
            <wp:effectExtent l="0" t="0" r="0" b="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5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F51A5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-1-9 人员调离导航</w:t>
      </w:r>
    </w:p>
    <w:p w14:paraId="39DBF88A">
      <w:pPr>
        <w:tabs>
          <w:tab w:val="left" w:pos="2547"/>
        </w:tabs>
        <w:ind w:firstLine="420"/>
        <w:jc w:val="left"/>
      </w:pPr>
      <w:r>
        <w:rPr>
          <w:rFonts w:hint="eastAsia"/>
        </w:rPr>
        <w:t>进入人员调离通用列表。如下图3-1-10所示：</w:t>
      </w:r>
    </w:p>
    <w:p w14:paraId="46DA988E">
      <w:pPr>
        <w:ind w:firstLine="0" w:firstLineChars="0"/>
        <w:jc w:val="center"/>
      </w:pPr>
      <w:r>
        <w:drawing>
          <wp:inline distT="0" distB="0" distL="114300" distR="114300">
            <wp:extent cx="5266690" cy="1113790"/>
            <wp:effectExtent l="0" t="0" r="0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B51EF">
      <w:pPr>
        <w:ind w:firstLine="0" w:firstLineChars="0"/>
        <w:jc w:val="center"/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-1-10人员调离通用列表</w:t>
      </w:r>
    </w:p>
    <w:p w14:paraId="72230933">
      <w:pPr>
        <w:tabs>
          <w:tab w:val="left" w:pos="2547"/>
        </w:tabs>
        <w:ind w:firstLine="420"/>
        <w:jc w:val="left"/>
      </w:pPr>
      <w:r>
        <w:rPr>
          <w:rFonts w:hint="eastAsia"/>
        </w:rPr>
        <w:t>点击操作栏中“</w:t>
      </w:r>
      <w:r>
        <w:rPr>
          <w:rFonts w:hint="eastAsia"/>
          <w:color w:val="0000FF"/>
        </w:rPr>
        <w:t>调离</w:t>
      </w:r>
      <w:r>
        <w:rPr>
          <w:rFonts w:hint="eastAsia"/>
        </w:rPr>
        <w:t>”按钮，弹出提示信息。如下图3-1-11所示：</w:t>
      </w:r>
    </w:p>
    <w:p w14:paraId="4524DF64">
      <w:pPr>
        <w:ind w:firstLine="0" w:firstLineChars="0"/>
        <w:jc w:val="center"/>
        <w:rPr>
          <w:rFonts w:hint="eastAsia" w:ascii="楷体" w:hAnsi="楷体" w:eastAsia="楷体"/>
        </w:rPr>
      </w:pPr>
      <w:r>
        <w:drawing>
          <wp:inline distT="0" distB="0" distL="114300" distR="114300">
            <wp:extent cx="5274310" cy="1072515"/>
            <wp:effectExtent l="0" t="0" r="0" b="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rcRect t="254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ACE87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-1-11 调离提示信息</w:t>
      </w:r>
    </w:p>
    <w:p w14:paraId="77F1EAA7">
      <w:pPr>
        <w:ind w:firstLine="420"/>
      </w:pPr>
      <w:r>
        <w:rPr>
          <w:rFonts w:hint="eastAsia"/>
        </w:rPr>
        <w:t>点击“</w:t>
      </w:r>
      <w:r>
        <w:rPr>
          <w:rFonts w:hint="eastAsia"/>
          <w:color w:val="0000FF"/>
        </w:rPr>
        <w:t>确认</w:t>
      </w:r>
      <w:r>
        <w:rPr>
          <w:rFonts w:hint="eastAsia"/>
        </w:rPr>
        <w:t>”按钮，该人员调离成功，且数据推送到管理端；点击“</w:t>
      </w:r>
      <w:r>
        <w:rPr>
          <w:rFonts w:hint="eastAsia"/>
          <w:color w:val="0000FF"/>
        </w:rPr>
        <w:t>取消</w:t>
      </w:r>
      <w:r>
        <w:rPr>
          <w:rFonts w:hint="eastAsia"/>
        </w:rPr>
        <w:t>”按钮，则取消调离操作。</w:t>
      </w:r>
    </w:p>
    <w:bookmarkEnd w:id="10"/>
    <w:p w14:paraId="16C4122A">
      <w:pPr>
        <w:pStyle w:val="5"/>
        <w:ind w:firstLine="562"/>
        <w:rPr>
          <w:rFonts w:hint="eastAsia" w:ascii="楷体" w:hAnsi="楷体" w:eastAsia="楷体"/>
        </w:rPr>
      </w:pPr>
      <w:r>
        <w:rPr>
          <w:rFonts w:hint="eastAsia"/>
        </w:rPr>
        <w:t>3.1.4、从业人员行政处罚查询</w:t>
      </w:r>
    </w:p>
    <w:p w14:paraId="7AF994B8">
      <w:pPr>
        <w:ind w:firstLine="420"/>
      </w:pPr>
      <w:r>
        <w:rPr>
          <w:rFonts w:hint="eastAsia"/>
        </w:rPr>
        <w:t>点击导航【</w:t>
      </w:r>
      <w:r>
        <w:rPr>
          <w:rFonts w:hint="eastAsia"/>
          <w:color w:val="0000FF"/>
        </w:rPr>
        <w:t>从业人员</w:t>
      </w:r>
      <w:r>
        <w:rPr>
          <w:rFonts w:hint="eastAsia" w:ascii="Helvetica" w:hAnsi="Helvetica" w:eastAsia="宋体" w:cs="Helvetica"/>
          <w:color w:val="0000FF"/>
          <w:szCs w:val="21"/>
          <w:shd w:val="clear" w:color="auto" w:fill="FFFFFF"/>
        </w:rPr>
        <w:t>行政处罚查询</w:t>
      </w:r>
      <w:r>
        <w:rPr>
          <w:rFonts w:hint="eastAsia"/>
        </w:rPr>
        <w:t>】。如下图</w:t>
      </w:r>
      <w:r>
        <w:t>3</w:t>
      </w:r>
      <w:r>
        <w:rPr>
          <w:rFonts w:hint="eastAsia"/>
        </w:rPr>
        <w:t>-1-12所示：</w:t>
      </w:r>
    </w:p>
    <w:p w14:paraId="53CB5147">
      <w:pPr>
        <w:ind w:firstLine="0" w:firstLineChars="0"/>
      </w:pPr>
      <w:r>
        <w:drawing>
          <wp:inline distT="0" distB="0" distL="114300" distR="114300">
            <wp:extent cx="5266690" cy="852805"/>
            <wp:effectExtent l="0" t="0" r="0" b="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9E324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-1-12从业人员行政处罚查询导航</w:t>
      </w:r>
    </w:p>
    <w:p w14:paraId="428BA775">
      <w:pPr>
        <w:ind w:firstLine="420"/>
      </w:pPr>
      <w:r>
        <w:rPr>
          <w:rFonts w:hint="eastAsia"/>
        </w:rPr>
        <w:t>进入从业人员行政处罚查询功能主界面。如下图3-1-13所示：</w:t>
      </w:r>
    </w:p>
    <w:p w14:paraId="02A40302">
      <w:pPr>
        <w:ind w:firstLine="0" w:firstLineChars="0"/>
        <w:jc w:val="center"/>
      </w:pPr>
      <w:r>
        <w:drawing>
          <wp:inline distT="0" distB="0" distL="114300" distR="114300">
            <wp:extent cx="5269230" cy="824865"/>
            <wp:effectExtent l="0" t="0" r="0" b="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40C7C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-1-13 从业人员行政处罚查询主页面</w:t>
      </w:r>
    </w:p>
    <w:p w14:paraId="412FEA0F">
      <w:pPr>
        <w:ind w:firstLine="420"/>
      </w:pPr>
      <w:r>
        <w:rPr>
          <w:rFonts w:hint="eastAsia"/>
        </w:rPr>
        <w:t>点击列表右侧操作中</w:t>
      </w:r>
      <w:r>
        <w:rPr>
          <w:rFonts w:hint="eastAsia"/>
          <w:color w:val="0000FF"/>
        </w:rPr>
        <w:t>“查看”</w:t>
      </w:r>
      <w:r>
        <w:rPr>
          <w:rFonts w:hint="eastAsia"/>
        </w:rPr>
        <w:t>按钮，进入到详情页面。如下图3-4-14所示：</w:t>
      </w:r>
    </w:p>
    <w:p w14:paraId="66331957">
      <w:pPr>
        <w:ind w:firstLine="0" w:firstLineChars="0"/>
      </w:pPr>
      <w:r>
        <w:drawing>
          <wp:inline distT="0" distB="0" distL="114300" distR="114300">
            <wp:extent cx="5207000" cy="803910"/>
            <wp:effectExtent l="0" t="0" r="0" b="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581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899795"/>
            <wp:effectExtent l="0" t="0" r="15240" b="1460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FAEB">
      <w:pPr>
        <w:ind w:firstLine="0" w:firstLineChars="0"/>
      </w:pPr>
    </w:p>
    <w:p w14:paraId="6A29DAD1">
      <w:pPr>
        <w:ind w:firstLine="0" w:firstLineChars="0"/>
        <w:jc w:val="center"/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-4-14 详情页面</w:t>
      </w:r>
    </w:p>
    <w:p w14:paraId="62BC6EC6">
      <w:pPr>
        <w:ind w:firstLine="420"/>
      </w:pPr>
    </w:p>
    <w:sectPr>
      <w:footerReference r:id="rId11" w:type="default"/>
      <w:pgSz w:w="11906" w:h="16838"/>
      <w:pgMar w:top="1440" w:right="1797" w:bottom="1440" w:left="1797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国标宋体-超大字符集扩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国标宋体-超大字符集扩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Nimbus Roman No9 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altName w:val="Nimbus Roman No9 L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Tahoma">
    <w:altName w:val="noto sans thai"/>
    <w:panose1 w:val="020B0604030504040204"/>
    <w:charset w:val="00"/>
    <w:family w:val="swiss"/>
    <w:pitch w:val="default"/>
    <w:sig w:usb0="00000000" w:usb1="00000000" w:usb2="00000029" w:usb3="00000000" w:csb0="200101FF" w:csb1="20280000"/>
  </w:font>
  <w:font w:name="noto sans thai">
    <w:panose1 w:val="020B0502040504020204"/>
    <w:charset w:val="00"/>
    <w:family w:val="auto"/>
    <w:pitch w:val="default"/>
    <w:sig w:usb0="81000063" w:usb1="00002000" w:usb2="00000000" w:usb3="00000000" w:csb0="0001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Helvetica">
    <w:altName w:val="DejaVu Sans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微软简中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国标宋体-超大字符集扩">
    <w:panose1 w:val="000005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904FA2">
    <w:pPr>
      <w:pStyle w:val="11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ajorHAnsi" w:hAnsiTheme="majorHAnsi" w:eastAsiaTheme="majorEastAsia" w:cstheme="majorBidi"/>
      </w:rPr>
      <w:id w:val="1752151256"/>
    </w:sdtPr>
    <w:sdtEndPr>
      <w:rPr>
        <w:rFonts w:asciiTheme="majorHAnsi" w:hAnsiTheme="majorHAnsi" w:eastAsiaTheme="majorEastAsia" w:cstheme="majorBidi"/>
      </w:rPr>
    </w:sdtEndPr>
    <w:sdtContent>
      <w:sdt>
        <w:sdtPr>
          <w:rPr>
            <w:rFonts w:asciiTheme="majorHAnsi" w:hAnsiTheme="majorHAnsi" w:eastAsiaTheme="majorEastAsia" w:cstheme="majorBidi"/>
          </w:rPr>
          <w:id w:val="171357582"/>
        </w:sdtPr>
        <w:sdtEndPr>
          <w:rPr>
            <w:rFonts w:asciiTheme="majorHAnsi" w:hAnsiTheme="majorHAnsi" w:eastAsiaTheme="majorEastAsia" w:cstheme="majorBidi"/>
          </w:rPr>
        </w:sdtEndPr>
        <w:sdtContent>
          <w:p w14:paraId="2E5F0796">
            <w:pPr>
              <w:ind w:firstLine="420"/>
              <w:rPr>
                <w:rFonts w:asciiTheme="majorHAnsi" w:hAnsiTheme="majorHAnsi" w:eastAsiaTheme="majorEastAsia" w:cstheme="majorBidi"/>
              </w:rPr>
            </w:pPr>
            <w:r>
              <w:rPr>
                <w:rFonts w:asciiTheme="majorHAnsi" w:hAnsiTheme="majorHAnsi" w:eastAsiaTheme="majorEastAsia" w:cstheme="majorBidi"/>
              </w:rPr>
              <w:pict>
                <v:shape id="椭圆 2" o:spid="_x0000_s3073" o:spt="3" type="#_x0000_t3" style="position:absolute;left:0pt;margin-left:0pt;margin-top:0pt;height:49.35pt;width:49.35pt;mso-position-horizontal-relative:page;mso-position-vertical-relative:page;z-index:251659264;v-text-anchor:middle;mso-width-relative:page;mso-height-relative:page;" fillcolor="#365F91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">
                  <v:path/>
                  <v:fill on="t" focussize="0,0"/>
                  <v:stroke on="f"/>
                  <v:imagedata o:title=""/>
                  <o:lock v:ext="edit"/>
                  <v:textbox>
                    <w:txbxContent>
                      <w:p w14:paraId="16F4F309">
                        <w:pPr>
                          <w:pStyle w:val="11"/>
                          <w:ind w:firstLine="440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zh-CN"/>
                          </w:rPr>
                          <w:t>2</w:t>
                        </w: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zh-CN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w:r>
          </w:p>
        </w:sdtContent>
      </w:sdt>
    </w:sdtContent>
  </w:sdt>
  <w:p w14:paraId="0EB2C183"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9BA5A">
    <w:pPr>
      <w:pStyle w:val="11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B7182B">
    <w:pPr>
      <w:pStyle w:val="11"/>
      <w:ind w:firstLine="360"/>
    </w:pPr>
    <w:r>
      <w:rPr>
        <w:sz w:val="18"/>
      </w:rPr>
      <w:pict>
        <v:shape id="_x0000_s3074" o:spid="_x0000_s3074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3F09366D">
                <w:pPr>
                  <w:pStyle w:val="11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9080CA"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4A552C"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0787D4"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2847E5"/>
    <w:multiLevelType w:val="singleLevel"/>
    <w:tmpl w:val="322847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1,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kyZDljMmEzNDU0MWRlNWQ1NzBmZGJhMjkyZWUzOWQifQ=="/>
  </w:docVars>
  <w:rsids>
    <w:rsidRoot w:val="00172A27"/>
    <w:rsid w:val="0000060C"/>
    <w:rsid w:val="00003641"/>
    <w:rsid w:val="00004E75"/>
    <w:rsid w:val="000143F4"/>
    <w:rsid w:val="00014537"/>
    <w:rsid w:val="00030135"/>
    <w:rsid w:val="0003289F"/>
    <w:rsid w:val="00036906"/>
    <w:rsid w:val="000377E0"/>
    <w:rsid w:val="00046C81"/>
    <w:rsid w:val="00047377"/>
    <w:rsid w:val="00047B6B"/>
    <w:rsid w:val="000541E2"/>
    <w:rsid w:val="00056CAC"/>
    <w:rsid w:val="000606C7"/>
    <w:rsid w:val="000674F1"/>
    <w:rsid w:val="00070D34"/>
    <w:rsid w:val="00083FCB"/>
    <w:rsid w:val="00095988"/>
    <w:rsid w:val="0009694F"/>
    <w:rsid w:val="000B1107"/>
    <w:rsid w:val="000B5EEA"/>
    <w:rsid w:val="000C043F"/>
    <w:rsid w:val="000C26FE"/>
    <w:rsid w:val="000C36A9"/>
    <w:rsid w:val="000C6F64"/>
    <w:rsid w:val="000E09DB"/>
    <w:rsid w:val="000F0B46"/>
    <w:rsid w:val="000F7320"/>
    <w:rsid w:val="00101BC2"/>
    <w:rsid w:val="0010392D"/>
    <w:rsid w:val="00116F20"/>
    <w:rsid w:val="0012607E"/>
    <w:rsid w:val="00143F9F"/>
    <w:rsid w:val="00151514"/>
    <w:rsid w:val="001528D5"/>
    <w:rsid w:val="00153200"/>
    <w:rsid w:val="00153D2B"/>
    <w:rsid w:val="00155D6F"/>
    <w:rsid w:val="00172A27"/>
    <w:rsid w:val="0018661D"/>
    <w:rsid w:val="00186811"/>
    <w:rsid w:val="00197EB2"/>
    <w:rsid w:val="001A55C6"/>
    <w:rsid w:val="001B1852"/>
    <w:rsid w:val="001B2F32"/>
    <w:rsid w:val="001B3C0E"/>
    <w:rsid w:val="001C1FED"/>
    <w:rsid w:val="001C2ADA"/>
    <w:rsid w:val="001C4E56"/>
    <w:rsid w:val="001E60EF"/>
    <w:rsid w:val="001F1C2A"/>
    <w:rsid w:val="001F5201"/>
    <w:rsid w:val="001F79B2"/>
    <w:rsid w:val="002005C7"/>
    <w:rsid w:val="00203B18"/>
    <w:rsid w:val="00206905"/>
    <w:rsid w:val="00212BA8"/>
    <w:rsid w:val="002257B1"/>
    <w:rsid w:val="00226A7E"/>
    <w:rsid w:val="00230DE3"/>
    <w:rsid w:val="002333FF"/>
    <w:rsid w:val="00233EC8"/>
    <w:rsid w:val="002357FD"/>
    <w:rsid w:val="00237F32"/>
    <w:rsid w:val="00240057"/>
    <w:rsid w:val="00241E33"/>
    <w:rsid w:val="00254570"/>
    <w:rsid w:val="00254FB1"/>
    <w:rsid w:val="002604B7"/>
    <w:rsid w:val="00260E9B"/>
    <w:rsid w:val="00281964"/>
    <w:rsid w:val="00282DA8"/>
    <w:rsid w:val="002939FA"/>
    <w:rsid w:val="002953FF"/>
    <w:rsid w:val="00295429"/>
    <w:rsid w:val="002962F3"/>
    <w:rsid w:val="002B4DC5"/>
    <w:rsid w:val="002C0F2A"/>
    <w:rsid w:val="002C29EF"/>
    <w:rsid w:val="002C50FC"/>
    <w:rsid w:val="002D4468"/>
    <w:rsid w:val="002E5999"/>
    <w:rsid w:val="002E6694"/>
    <w:rsid w:val="002F2236"/>
    <w:rsid w:val="002F6C20"/>
    <w:rsid w:val="00301D7F"/>
    <w:rsid w:val="00303F12"/>
    <w:rsid w:val="00311818"/>
    <w:rsid w:val="003222F5"/>
    <w:rsid w:val="0032370D"/>
    <w:rsid w:val="0033685C"/>
    <w:rsid w:val="003411C6"/>
    <w:rsid w:val="00345529"/>
    <w:rsid w:val="00346119"/>
    <w:rsid w:val="003509B0"/>
    <w:rsid w:val="003553FE"/>
    <w:rsid w:val="00360890"/>
    <w:rsid w:val="003644F0"/>
    <w:rsid w:val="00370556"/>
    <w:rsid w:val="00371B0A"/>
    <w:rsid w:val="00372D23"/>
    <w:rsid w:val="00372EE9"/>
    <w:rsid w:val="0038059E"/>
    <w:rsid w:val="00383185"/>
    <w:rsid w:val="00390AEE"/>
    <w:rsid w:val="00391C4C"/>
    <w:rsid w:val="00393447"/>
    <w:rsid w:val="0039457F"/>
    <w:rsid w:val="00395043"/>
    <w:rsid w:val="003A0AF1"/>
    <w:rsid w:val="003A491E"/>
    <w:rsid w:val="003B7672"/>
    <w:rsid w:val="003C4055"/>
    <w:rsid w:val="003C468C"/>
    <w:rsid w:val="003D159C"/>
    <w:rsid w:val="003D2DE3"/>
    <w:rsid w:val="003D2EEC"/>
    <w:rsid w:val="003D4313"/>
    <w:rsid w:val="003E2FC7"/>
    <w:rsid w:val="003E3805"/>
    <w:rsid w:val="003E635A"/>
    <w:rsid w:val="003F2314"/>
    <w:rsid w:val="003F2907"/>
    <w:rsid w:val="003F2FAB"/>
    <w:rsid w:val="003F439B"/>
    <w:rsid w:val="003F56B1"/>
    <w:rsid w:val="003F641F"/>
    <w:rsid w:val="00407627"/>
    <w:rsid w:val="00411FCD"/>
    <w:rsid w:val="00416C36"/>
    <w:rsid w:val="004314AC"/>
    <w:rsid w:val="0044102E"/>
    <w:rsid w:val="00444CCB"/>
    <w:rsid w:val="00457234"/>
    <w:rsid w:val="00457477"/>
    <w:rsid w:val="0046015E"/>
    <w:rsid w:val="00463B6F"/>
    <w:rsid w:val="00467113"/>
    <w:rsid w:val="0047130C"/>
    <w:rsid w:val="00475D07"/>
    <w:rsid w:val="004765FC"/>
    <w:rsid w:val="00481263"/>
    <w:rsid w:val="00497108"/>
    <w:rsid w:val="004A3768"/>
    <w:rsid w:val="004A3E41"/>
    <w:rsid w:val="004A49C6"/>
    <w:rsid w:val="004B1F51"/>
    <w:rsid w:val="004B3706"/>
    <w:rsid w:val="004C14D1"/>
    <w:rsid w:val="004C7879"/>
    <w:rsid w:val="004D1A4B"/>
    <w:rsid w:val="004E1534"/>
    <w:rsid w:val="004E3FE3"/>
    <w:rsid w:val="005020E2"/>
    <w:rsid w:val="00514963"/>
    <w:rsid w:val="00524CEC"/>
    <w:rsid w:val="005260A0"/>
    <w:rsid w:val="00540D91"/>
    <w:rsid w:val="00544E63"/>
    <w:rsid w:val="0055219F"/>
    <w:rsid w:val="0055405A"/>
    <w:rsid w:val="00566599"/>
    <w:rsid w:val="0057697A"/>
    <w:rsid w:val="005776DD"/>
    <w:rsid w:val="005B05E9"/>
    <w:rsid w:val="005B1E46"/>
    <w:rsid w:val="005E0EFE"/>
    <w:rsid w:val="005F021C"/>
    <w:rsid w:val="005F2943"/>
    <w:rsid w:val="00601BBE"/>
    <w:rsid w:val="0060327C"/>
    <w:rsid w:val="00605DC0"/>
    <w:rsid w:val="006335CB"/>
    <w:rsid w:val="00633951"/>
    <w:rsid w:val="00634841"/>
    <w:rsid w:val="006454F1"/>
    <w:rsid w:val="006506C3"/>
    <w:rsid w:val="00651179"/>
    <w:rsid w:val="006549AF"/>
    <w:rsid w:val="00660879"/>
    <w:rsid w:val="00662828"/>
    <w:rsid w:val="006631F7"/>
    <w:rsid w:val="00666FB5"/>
    <w:rsid w:val="00672387"/>
    <w:rsid w:val="0068084E"/>
    <w:rsid w:val="0068238E"/>
    <w:rsid w:val="00686C80"/>
    <w:rsid w:val="006A260A"/>
    <w:rsid w:val="006A6F5F"/>
    <w:rsid w:val="006B1E70"/>
    <w:rsid w:val="006B5BBC"/>
    <w:rsid w:val="006C17DC"/>
    <w:rsid w:val="006C3209"/>
    <w:rsid w:val="006C3BBE"/>
    <w:rsid w:val="006D0FC5"/>
    <w:rsid w:val="006D19BB"/>
    <w:rsid w:val="006E6506"/>
    <w:rsid w:val="006F6EDE"/>
    <w:rsid w:val="00712112"/>
    <w:rsid w:val="00716CB3"/>
    <w:rsid w:val="00722902"/>
    <w:rsid w:val="00725138"/>
    <w:rsid w:val="00726CD2"/>
    <w:rsid w:val="00726F5C"/>
    <w:rsid w:val="00727098"/>
    <w:rsid w:val="00727BA4"/>
    <w:rsid w:val="00727E51"/>
    <w:rsid w:val="00734FDE"/>
    <w:rsid w:val="00760898"/>
    <w:rsid w:val="00771369"/>
    <w:rsid w:val="0078578B"/>
    <w:rsid w:val="007A7D5F"/>
    <w:rsid w:val="007C286E"/>
    <w:rsid w:val="007C6DBF"/>
    <w:rsid w:val="007E039C"/>
    <w:rsid w:val="007E0691"/>
    <w:rsid w:val="007E4CDC"/>
    <w:rsid w:val="007E5452"/>
    <w:rsid w:val="007F083A"/>
    <w:rsid w:val="007F11A2"/>
    <w:rsid w:val="008015E5"/>
    <w:rsid w:val="00804B6D"/>
    <w:rsid w:val="00817B50"/>
    <w:rsid w:val="00826DC8"/>
    <w:rsid w:val="0084256C"/>
    <w:rsid w:val="00846E4B"/>
    <w:rsid w:val="00847CA9"/>
    <w:rsid w:val="00860570"/>
    <w:rsid w:val="00860CF3"/>
    <w:rsid w:val="00862583"/>
    <w:rsid w:val="0086325B"/>
    <w:rsid w:val="0086394F"/>
    <w:rsid w:val="00865340"/>
    <w:rsid w:val="0086715D"/>
    <w:rsid w:val="00867DCC"/>
    <w:rsid w:val="008742CF"/>
    <w:rsid w:val="00875F24"/>
    <w:rsid w:val="008905AC"/>
    <w:rsid w:val="008908FF"/>
    <w:rsid w:val="008B4683"/>
    <w:rsid w:val="008B4C75"/>
    <w:rsid w:val="008D2533"/>
    <w:rsid w:val="008F219A"/>
    <w:rsid w:val="008F4052"/>
    <w:rsid w:val="008F4572"/>
    <w:rsid w:val="008F684A"/>
    <w:rsid w:val="00900D08"/>
    <w:rsid w:val="00913AEC"/>
    <w:rsid w:val="00916677"/>
    <w:rsid w:val="00921C69"/>
    <w:rsid w:val="00930311"/>
    <w:rsid w:val="00930631"/>
    <w:rsid w:val="009321B3"/>
    <w:rsid w:val="00935C06"/>
    <w:rsid w:val="00942CDB"/>
    <w:rsid w:val="00943A00"/>
    <w:rsid w:val="00947511"/>
    <w:rsid w:val="00956644"/>
    <w:rsid w:val="009637EB"/>
    <w:rsid w:val="00967674"/>
    <w:rsid w:val="00992B3C"/>
    <w:rsid w:val="0099787E"/>
    <w:rsid w:val="009A42C8"/>
    <w:rsid w:val="009A5398"/>
    <w:rsid w:val="009A71E0"/>
    <w:rsid w:val="009B424B"/>
    <w:rsid w:val="009C1D31"/>
    <w:rsid w:val="009F4B09"/>
    <w:rsid w:val="009F6951"/>
    <w:rsid w:val="00A018C4"/>
    <w:rsid w:val="00A06891"/>
    <w:rsid w:val="00A11A87"/>
    <w:rsid w:val="00A12F17"/>
    <w:rsid w:val="00A23F62"/>
    <w:rsid w:val="00A36295"/>
    <w:rsid w:val="00A36948"/>
    <w:rsid w:val="00A44571"/>
    <w:rsid w:val="00A51648"/>
    <w:rsid w:val="00A55988"/>
    <w:rsid w:val="00A76F4C"/>
    <w:rsid w:val="00A81319"/>
    <w:rsid w:val="00AA5D2A"/>
    <w:rsid w:val="00AB3B88"/>
    <w:rsid w:val="00AC296D"/>
    <w:rsid w:val="00AC3429"/>
    <w:rsid w:val="00AC49CD"/>
    <w:rsid w:val="00AC7308"/>
    <w:rsid w:val="00AD2B4D"/>
    <w:rsid w:val="00AD2C71"/>
    <w:rsid w:val="00AD5FCD"/>
    <w:rsid w:val="00AE2A2D"/>
    <w:rsid w:val="00AE4FEC"/>
    <w:rsid w:val="00AF296B"/>
    <w:rsid w:val="00AF4D1F"/>
    <w:rsid w:val="00AF6E86"/>
    <w:rsid w:val="00B007A1"/>
    <w:rsid w:val="00B01C8F"/>
    <w:rsid w:val="00B1651C"/>
    <w:rsid w:val="00B171EE"/>
    <w:rsid w:val="00B174B1"/>
    <w:rsid w:val="00B232D4"/>
    <w:rsid w:val="00B30525"/>
    <w:rsid w:val="00B34326"/>
    <w:rsid w:val="00B62A27"/>
    <w:rsid w:val="00B669D2"/>
    <w:rsid w:val="00B752A6"/>
    <w:rsid w:val="00B82F10"/>
    <w:rsid w:val="00B848E4"/>
    <w:rsid w:val="00B87D09"/>
    <w:rsid w:val="00BA3FC4"/>
    <w:rsid w:val="00BB2E20"/>
    <w:rsid w:val="00BB612E"/>
    <w:rsid w:val="00BB6968"/>
    <w:rsid w:val="00BE265C"/>
    <w:rsid w:val="00BE468A"/>
    <w:rsid w:val="00C049E3"/>
    <w:rsid w:val="00C04C42"/>
    <w:rsid w:val="00C0779C"/>
    <w:rsid w:val="00C11D94"/>
    <w:rsid w:val="00C25D72"/>
    <w:rsid w:val="00C311B8"/>
    <w:rsid w:val="00C31201"/>
    <w:rsid w:val="00C36DA7"/>
    <w:rsid w:val="00C40190"/>
    <w:rsid w:val="00C414CB"/>
    <w:rsid w:val="00C47AF5"/>
    <w:rsid w:val="00C508FB"/>
    <w:rsid w:val="00C53639"/>
    <w:rsid w:val="00C54740"/>
    <w:rsid w:val="00C5668A"/>
    <w:rsid w:val="00C674AE"/>
    <w:rsid w:val="00C67F0D"/>
    <w:rsid w:val="00C75F1B"/>
    <w:rsid w:val="00C81663"/>
    <w:rsid w:val="00C820BC"/>
    <w:rsid w:val="00C85FCB"/>
    <w:rsid w:val="00C86E34"/>
    <w:rsid w:val="00CB2E02"/>
    <w:rsid w:val="00CC0F9B"/>
    <w:rsid w:val="00CC1926"/>
    <w:rsid w:val="00CE1CA0"/>
    <w:rsid w:val="00CE4758"/>
    <w:rsid w:val="00CE6449"/>
    <w:rsid w:val="00CE7737"/>
    <w:rsid w:val="00D01F3D"/>
    <w:rsid w:val="00D05365"/>
    <w:rsid w:val="00D065E0"/>
    <w:rsid w:val="00D06CBB"/>
    <w:rsid w:val="00D07E56"/>
    <w:rsid w:val="00D1200A"/>
    <w:rsid w:val="00D17FCD"/>
    <w:rsid w:val="00D22BDF"/>
    <w:rsid w:val="00D24B06"/>
    <w:rsid w:val="00D25343"/>
    <w:rsid w:val="00D35872"/>
    <w:rsid w:val="00D40E5E"/>
    <w:rsid w:val="00D40EFD"/>
    <w:rsid w:val="00D4290B"/>
    <w:rsid w:val="00D44B49"/>
    <w:rsid w:val="00D46802"/>
    <w:rsid w:val="00D4728F"/>
    <w:rsid w:val="00D55216"/>
    <w:rsid w:val="00D575D0"/>
    <w:rsid w:val="00D63BC3"/>
    <w:rsid w:val="00D8673C"/>
    <w:rsid w:val="00D87E16"/>
    <w:rsid w:val="00DA06FB"/>
    <w:rsid w:val="00DA581B"/>
    <w:rsid w:val="00DB03CA"/>
    <w:rsid w:val="00DB150B"/>
    <w:rsid w:val="00DB20D0"/>
    <w:rsid w:val="00DB2626"/>
    <w:rsid w:val="00DC0FD8"/>
    <w:rsid w:val="00DC159A"/>
    <w:rsid w:val="00DC4D9B"/>
    <w:rsid w:val="00DD1FFB"/>
    <w:rsid w:val="00DD3042"/>
    <w:rsid w:val="00DF3E05"/>
    <w:rsid w:val="00DF4255"/>
    <w:rsid w:val="00DF45A9"/>
    <w:rsid w:val="00E00702"/>
    <w:rsid w:val="00E02AA1"/>
    <w:rsid w:val="00E03583"/>
    <w:rsid w:val="00E04CE0"/>
    <w:rsid w:val="00E05659"/>
    <w:rsid w:val="00E24D15"/>
    <w:rsid w:val="00E270F7"/>
    <w:rsid w:val="00E31B0A"/>
    <w:rsid w:val="00E366D3"/>
    <w:rsid w:val="00E45D30"/>
    <w:rsid w:val="00E57A37"/>
    <w:rsid w:val="00E6110A"/>
    <w:rsid w:val="00E66DCE"/>
    <w:rsid w:val="00E7417A"/>
    <w:rsid w:val="00E8045B"/>
    <w:rsid w:val="00E85A17"/>
    <w:rsid w:val="00E92396"/>
    <w:rsid w:val="00EA27BF"/>
    <w:rsid w:val="00EA6E0F"/>
    <w:rsid w:val="00ED370C"/>
    <w:rsid w:val="00ED6616"/>
    <w:rsid w:val="00ED7FA4"/>
    <w:rsid w:val="00EE3998"/>
    <w:rsid w:val="00EE4578"/>
    <w:rsid w:val="00EF483F"/>
    <w:rsid w:val="00EF779D"/>
    <w:rsid w:val="00F02823"/>
    <w:rsid w:val="00F24173"/>
    <w:rsid w:val="00F267EF"/>
    <w:rsid w:val="00F30A6B"/>
    <w:rsid w:val="00F32BBD"/>
    <w:rsid w:val="00F36AF6"/>
    <w:rsid w:val="00F37D7C"/>
    <w:rsid w:val="00F432B9"/>
    <w:rsid w:val="00F43FAD"/>
    <w:rsid w:val="00F603C1"/>
    <w:rsid w:val="00F65877"/>
    <w:rsid w:val="00F677B3"/>
    <w:rsid w:val="00F8541F"/>
    <w:rsid w:val="00F85BFE"/>
    <w:rsid w:val="00F92B03"/>
    <w:rsid w:val="00F93C25"/>
    <w:rsid w:val="00F96B4A"/>
    <w:rsid w:val="00FA6122"/>
    <w:rsid w:val="00FA6ED0"/>
    <w:rsid w:val="00FA7B10"/>
    <w:rsid w:val="00FD3CFF"/>
    <w:rsid w:val="00FE5E78"/>
    <w:rsid w:val="00FF3CFB"/>
    <w:rsid w:val="00FF5632"/>
    <w:rsid w:val="01855752"/>
    <w:rsid w:val="01F21968"/>
    <w:rsid w:val="02657731"/>
    <w:rsid w:val="02BA6497"/>
    <w:rsid w:val="02D13BB0"/>
    <w:rsid w:val="02DA4630"/>
    <w:rsid w:val="034A31CB"/>
    <w:rsid w:val="04133956"/>
    <w:rsid w:val="04A25551"/>
    <w:rsid w:val="04CE1F73"/>
    <w:rsid w:val="04FE17BB"/>
    <w:rsid w:val="053330D3"/>
    <w:rsid w:val="05A21435"/>
    <w:rsid w:val="05AB10D4"/>
    <w:rsid w:val="05B64EE1"/>
    <w:rsid w:val="06A938AC"/>
    <w:rsid w:val="06CE1DB6"/>
    <w:rsid w:val="06E25862"/>
    <w:rsid w:val="07092B67"/>
    <w:rsid w:val="073A744C"/>
    <w:rsid w:val="07524795"/>
    <w:rsid w:val="07F17FC2"/>
    <w:rsid w:val="08AF7209"/>
    <w:rsid w:val="08BC62FE"/>
    <w:rsid w:val="08DD2784"/>
    <w:rsid w:val="091B5818"/>
    <w:rsid w:val="09D90C3C"/>
    <w:rsid w:val="0A0139B7"/>
    <w:rsid w:val="0A342878"/>
    <w:rsid w:val="0AB82071"/>
    <w:rsid w:val="0AC211CA"/>
    <w:rsid w:val="0ADA51CD"/>
    <w:rsid w:val="0B4D3BF1"/>
    <w:rsid w:val="0B882E7B"/>
    <w:rsid w:val="0B8C7126"/>
    <w:rsid w:val="0BD467B4"/>
    <w:rsid w:val="0C1D3AC8"/>
    <w:rsid w:val="0CDC6310"/>
    <w:rsid w:val="0D422886"/>
    <w:rsid w:val="0DDE59E4"/>
    <w:rsid w:val="0E0213F2"/>
    <w:rsid w:val="0E060087"/>
    <w:rsid w:val="0EA61931"/>
    <w:rsid w:val="0EAA3109"/>
    <w:rsid w:val="0EB6226B"/>
    <w:rsid w:val="0ED20405"/>
    <w:rsid w:val="0EF600FC"/>
    <w:rsid w:val="0F135152"/>
    <w:rsid w:val="0F1467D4"/>
    <w:rsid w:val="0FDB4073"/>
    <w:rsid w:val="10022AD1"/>
    <w:rsid w:val="1045477D"/>
    <w:rsid w:val="105D3834"/>
    <w:rsid w:val="10AF4EA5"/>
    <w:rsid w:val="110747A8"/>
    <w:rsid w:val="11B737D8"/>
    <w:rsid w:val="12AC02E6"/>
    <w:rsid w:val="12FE7EC7"/>
    <w:rsid w:val="13443A11"/>
    <w:rsid w:val="138D7B40"/>
    <w:rsid w:val="139366AD"/>
    <w:rsid w:val="142E70B3"/>
    <w:rsid w:val="145139F1"/>
    <w:rsid w:val="14741392"/>
    <w:rsid w:val="15023909"/>
    <w:rsid w:val="1527196A"/>
    <w:rsid w:val="16315F4D"/>
    <w:rsid w:val="164C1A4B"/>
    <w:rsid w:val="16B03920"/>
    <w:rsid w:val="172646BC"/>
    <w:rsid w:val="17317B00"/>
    <w:rsid w:val="175314BC"/>
    <w:rsid w:val="17D32FDC"/>
    <w:rsid w:val="189664AC"/>
    <w:rsid w:val="1A9B5FFB"/>
    <w:rsid w:val="1AC770B4"/>
    <w:rsid w:val="1AE95196"/>
    <w:rsid w:val="1AF0003A"/>
    <w:rsid w:val="1B177640"/>
    <w:rsid w:val="1B735084"/>
    <w:rsid w:val="1CE123EB"/>
    <w:rsid w:val="1D2422D8"/>
    <w:rsid w:val="1D2A0508"/>
    <w:rsid w:val="1D3D3613"/>
    <w:rsid w:val="1E831280"/>
    <w:rsid w:val="1ECE06B5"/>
    <w:rsid w:val="1F3C1F78"/>
    <w:rsid w:val="1F75506D"/>
    <w:rsid w:val="1F8F5F24"/>
    <w:rsid w:val="1FF93EF0"/>
    <w:rsid w:val="20B9542D"/>
    <w:rsid w:val="20CD264D"/>
    <w:rsid w:val="21501B14"/>
    <w:rsid w:val="21E309B4"/>
    <w:rsid w:val="22417C89"/>
    <w:rsid w:val="22FF2430"/>
    <w:rsid w:val="23D23C60"/>
    <w:rsid w:val="24172B97"/>
    <w:rsid w:val="24187FFD"/>
    <w:rsid w:val="24280900"/>
    <w:rsid w:val="24446582"/>
    <w:rsid w:val="24547A2D"/>
    <w:rsid w:val="249935AC"/>
    <w:rsid w:val="25063703"/>
    <w:rsid w:val="2519649B"/>
    <w:rsid w:val="259F40A6"/>
    <w:rsid w:val="25F33556"/>
    <w:rsid w:val="26A83194"/>
    <w:rsid w:val="26EA4592"/>
    <w:rsid w:val="27693709"/>
    <w:rsid w:val="28043432"/>
    <w:rsid w:val="28600C14"/>
    <w:rsid w:val="28604C51"/>
    <w:rsid w:val="2899361B"/>
    <w:rsid w:val="292A336C"/>
    <w:rsid w:val="297736EF"/>
    <w:rsid w:val="2997660C"/>
    <w:rsid w:val="29D11435"/>
    <w:rsid w:val="2A150918"/>
    <w:rsid w:val="2AB949A8"/>
    <w:rsid w:val="2ABE5B1A"/>
    <w:rsid w:val="2BB92C35"/>
    <w:rsid w:val="2BCC766D"/>
    <w:rsid w:val="2C3342E6"/>
    <w:rsid w:val="2CC94CA1"/>
    <w:rsid w:val="2CE451F3"/>
    <w:rsid w:val="2CEC1BE3"/>
    <w:rsid w:val="2D881E19"/>
    <w:rsid w:val="2DB25117"/>
    <w:rsid w:val="2DB72794"/>
    <w:rsid w:val="2DBF0527"/>
    <w:rsid w:val="2DEA435E"/>
    <w:rsid w:val="2E3B56D4"/>
    <w:rsid w:val="2FB27C17"/>
    <w:rsid w:val="30AA08EF"/>
    <w:rsid w:val="311A3CC6"/>
    <w:rsid w:val="32146967"/>
    <w:rsid w:val="322C3CB1"/>
    <w:rsid w:val="32433584"/>
    <w:rsid w:val="32CC4DD8"/>
    <w:rsid w:val="32CD4510"/>
    <w:rsid w:val="331710E0"/>
    <w:rsid w:val="335A484E"/>
    <w:rsid w:val="336C3BFA"/>
    <w:rsid w:val="336D4799"/>
    <w:rsid w:val="33791178"/>
    <w:rsid w:val="33F055F4"/>
    <w:rsid w:val="33F05E80"/>
    <w:rsid w:val="34AB313E"/>
    <w:rsid w:val="34AF1B7C"/>
    <w:rsid w:val="35BE6633"/>
    <w:rsid w:val="35D5640E"/>
    <w:rsid w:val="35E84393"/>
    <w:rsid w:val="36773F8A"/>
    <w:rsid w:val="36A22794"/>
    <w:rsid w:val="36DA7728"/>
    <w:rsid w:val="36F33193"/>
    <w:rsid w:val="37872CCC"/>
    <w:rsid w:val="38182460"/>
    <w:rsid w:val="397228F1"/>
    <w:rsid w:val="3A03179B"/>
    <w:rsid w:val="3A601A2D"/>
    <w:rsid w:val="3B335B15"/>
    <w:rsid w:val="3B7E0727"/>
    <w:rsid w:val="3BBE6635"/>
    <w:rsid w:val="3C434A09"/>
    <w:rsid w:val="3CA8662A"/>
    <w:rsid w:val="3D361E88"/>
    <w:rsid w:val="3D365577"/>
    <w:rsid w:val="3D5E7496"/>
    <w:rsid w:val="3D640108"/>
    <w:rsid w:val="3DB242E5"/>
    <w:rsid w:val="3DE2791A"/>
    <w:rsid w:val="3E3143FD"/>
    <w:rsid w:val="3EC761D8"/>
    <w:rsid w:val="3F6E3B5B"/>
    <w:rsid w:val="3F7F1319"/>
    <w:rsid w:val="40204729"/>
    <w:rsid w:val="403E7238"/>
    <w:rsid w:val="40465F65"/>
    <w:rsid w:val="40503A25"/>
    <w:rsid w:val="40B76213"/>
    <w:rsid w:val="4120324D"/>
    <w:rsid w:val="41AC65CC"/>
    <w:rsid w:val="41B31CF9"/>
    <w:rsid w:val="4222383C"/>
    <w:rsid w:val="42472441"/>
    <w:rsid w:val="427A45C5"/>
    <w:rsid w:val="429737AE"/>
    <w:rsid w:val="440D0145"/>
    <w:rsid w:val="45192324"/>
    <w:rsid w:val="45362057"/>
    <w:rsid w:val="466A4F52"/>
    <w:rsid w:val="475F45F4"/>
    <w:rsid w:val="47946129"/>
    <w:rsid w:val="47CB7671"/>
    <w:rsid w:val="47DD4670"/>
    <w:rsid w:val="48D72AA3"/>
    <w:rsid w:val="48DD3AFF"/>
    <w:rsid w:val="48E2187F"/>
    <w:rsid w:val="49077FE6"/>
    <w:rsid w:val="492C4DD3"/>
    <w:rsid w:val="495406C2"/>
    <w:rsid w:val="498A067A"/>
    <w:rsid w:val="49C60785"/>
    <w:rsid w:val="4A1D1EC8"/>
    <w:rsid w:val="4A2A565D"/>
    <w:rsid w:val="4A477D0F"/>
    <w:rsid w:val="4ACB154D"/>
    <w:rsid w:val="4AF300BC"/>
    <w:rsid w:val="4B1B446B"/>
    <w:rsid w:val="4B5C0073"/>
    <w:rsid w:val="4BB072A9"/>
    <w:rsid w:val="4BD10095"/>
    <w:rsid w:val="4BD52B28"/>
    <w:rsid w:val="4BDC009E"/>
    <w:rsid w:val="4BEE1691"/>
    <w:rsid w:val="4C3062DF"/>
    <w:rsid w:val="4C6F1BC4"/>
    <w:rsid w:val="4C9F7ED1"/>
    <w:rsid w:val="4CDD5414"/>
    <w:rsid w:val="4CE4545C"/>
    <w:rsid w:val="4E1B1742"/>
    <w:rsid w:val="4E1F24C4"/>
    <w:rsid w:val="4EBB116F"/>
    <w:rsid w:val="4F44293C"/>
    <w:rsid w:val="4F5C1811"/>
    <w:rsid w:val="4FF836A0"/>
    <w:rsid w:val="504B2EFC"/>
    <w:rsid w:val="508475BC"/>
    <w:rsid w:val="509B1CB1"/>
    <w:rsid w:val="50F71AAB"/>
    <w:rsid w:val="50FF516A"/>
    <w:rsid w:val="514A7396"/>
    <w:rsid w:val="51616410"/>
    <w:rsid w:val="51EC2022"/>
    <w:rsid w:val="522923D3"/>
    <w:rsid w:val="523A157F"/>
    <w:rsid w:val="52F12681"/>
    <w:rsid w:val="53A9470E"/>
    <w:rsid w:val="540F48EE"/>
    <w:rsid w:val="55222C37"/>
    <w:rsid w:val="555D5DAC"/>
    <w:rsid w:val="55986E84"/>
    <w:rsid w:val="56246DA9"/>
    <w:rsid w:val="567E4073"/>
    <w:rsid w:val="568B4B9B"/>
    <w:rsid w:val="56BC3AD9"/>
    <w:rsid w:val="56D155C3"/>
    <w:rsid w:val="56E357B1"/>
    <w:rsid w:val="57195F18"/>
    <w:rsid w:val="581356E9"/>
    <w:rsid w:val="5814296E"/>
    <w:rsid w:val="584364B9"/>
    <w:rsid w:val="584645EB"/>
    <w:rsid w:val="5862010E"/>
    <w:rsid w:val="58C85C32"/>
    <w:rsid w:val="58F06F37"/>
    <w:rsid w:val="59A109C8"/>
    <w:rsid w:val="59ED0ECA"/>
    <w:rsid w:val="5A074538"/>
    <w:rsid w:val="5A203D5A"/>
    <w:rsid w:val="5A335AED"/>
    <w:rsid w:val="5A6845D2"/>
    <w:rsid w:val="5BAC35E9"/>
    <w:rsid w:val="5BEC7E8A"/>
    <w:rsid w:val="5BFA2036"/>
    <w:rsid w:val="5C262B72"/>
    <w:rsid w:val="5CC14081"/>
    <w:rsid w:val="5CED5FBE"/>
    <w:rsid w:val="5D5D0C48"/>
    <w:rsid w:val="5DED09D2"/>
    <w:rsid w:val="5E574643"/>
    <w:rsid w:val="5E5A16CB"/>
    <w:rsid w:val="5E624433"/>
    <w:rsid w:val="5E8873BA"/>
    <w:rsid w:val="5F7F1015"/>
    <w:rsid w:val="5F953859"/>
    <w:rsid w:val="5FAB3F51"/>
    <w:rsid w:val="60D033D7"/>
    <w:rsid w:val="61A23E60"/>
    <w:rsid w:val="62513031"/>
    <w:rsid w:val="62970423"/>
    <w:rsid w:val="62BB2364"/>
    <w:rsid w:val="636B3D8A"/>
    <w:rsid w:val="637569B7"/>
    <w:rsid w:val="63BA77AE"/>
    <w:rsid w:val="63C35974"/>
    <w:rsid w:val="64AA0AEC"/>
    <w:rsid w:val="64E52F3A"/>
    <w:rsid w:val="66B12AC1"/>
    <w:rsid w:val="66B23A7E"/>
    <w:rsid w:val="674A0C56"/>
    <w:rsid w:val="67966EFB"/>
    <w:rsid w:val="680B24A1"/>
    <w:rsid w:val="681F6333"/>
    <w:rsid w:val="685935D4"/>
    <w:rsid w:val="68BA3557"/>
    <w:rsid w:val="68C066C2"/>
    <w:rsid w:val="69481083"/>
    <w:rsid w:val="69802B99"/>
    <w:rsid w:val="69A3353B"/>
    <w:rsid w:val="69EC374B"/>
    <w:rsid w:val="6A0171F6"/>
    <w:rsid w:val="6AA42102"/>
    <w:rsid w:val="6AC45C2D"/>
    <w:rsid w:val="6B453112"/>
    <w:rsid w:val="6B7E65DA"/>
    <w:rsid w:val="6C1236EB"/>
    <w:rsid w:val="6C703596"/>
    <w:rsid w:val="6C763C55"/>
    <w:rsid w:val="6C884962"/>
    <w:rsid w:val="6DA305C4"/>
    <w:rsid w:val="6E041063"/>
    <w:rsid w:val="6E704675"/>
    <w:rsid w:val="6EC14468"/>
    <w:rsid w:val="6EF67FE9"/>
    <w:rsid w:val="6F8A0A03"/>
    <w:rsid w:val="70221C74"/>
    <w:rsid w:val="703A33C5"/>
    <w:rsid w:val="70A505D3"/>
    <w:rsid w:val="70DA57DA"/>
    <w:rsid w:val="71F416D8"/>
    <w:rsid w:val="71FC36C2"/>
    <w:rsid w:val="72671BC0"/>
    <w:rsid w:val="743F7C25"/>
    <w:rsid w:val="74A9781D"/>
    <w:rsid w:val="74B55F82"/>
    <w:rsid w:val="758F5AE5"/>
    <w:rsid w:val="75F05CC0"/>
    <w:rsid w:val="75F45E61"/>
    <w:rsid w:val="761D4E15"/>
    <w:rsid w:val="768531CB"/>
    <w:rsid w:val="78912C23"/>
    <w:rsid w:val="78A91184"/>
    <w:rsid w:val="78B23D00"/>
    <w:rsid w:val="79077C59"/>
    <w:rsid w:val="798E0A54"/>
    <w:rsid w:val="79A15E07"/>
    <w:rsid w:val="79D62704"/>
    <w:rsid w:val="79EE2D2D"/>
    <w:rsid w:val="7A1D7F03"/>
    <w:rsid w:val="7A480258"/>
    <w:rsid w:val="7A9507F6"/>
    <w:rsid w:val="7B272FF7"/>
    <w:rsid w:val="7B962D0C"/>
    <w:rsid w:val="7BB133CF"/>
    <w:rsid w:val="7C045611"/>
    <w:rsid w:val="7C606BB1"/>
    <w:rsid w:val="7CE43A4E"/>
    <w:rsid w:val="7CFD5790"/>
    <w:rsid w:val="7D581E17"/>
    <w:rsid w:val="7D983576"/>
    <w:rsid w:val="7E032A0C"/>
    <w:rsid w:val="7E9A79FE"/>
    <w:rsid w:val="7EDC7FBD"/>
    <w:rsid w:val="7EFE565A"/>
    <w:rsid w:val="7F032C71"/>
    <w:rsid w:val="7FBC1FE5"/>
    <w:rsid w:val="7FC5019C"/>
    <w:rsid w:val="ADE394A1"/>
    <w:rsid w:val="FF69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autoRedefine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25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autoRedefine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9"/>
    <w:autoRedefine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annotation text"/>
    <w:basedOn w:val="1"/>
    <w:link w:val="34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autoRedefine/>
    <w:unhideWhenUsed/>
    <w:qFormat/>
    <w:uiPriority w:val="39"/>
    <w:pPr>
      <w:widowControl/>
      <w:spacing w:after="160" w:line="259" w:lineRule="auto"/>
      <w:ind w:left="840" w:leftChars="400"/>
      <w:jc w:val="left"/>
    </w:pPr>
    <w:rPr>
      <w:kern w:val="0"/>
      <w:sz w:val="22"/>
    </w:rPr>
  </w:style>
  <w:style w:type="paragraph" w:styleId="9">
    <w:name w:val="Date"/>
    <w:basedOn w:val="1"/>
    <w:next w:val="1"/>
    <w:link w:val="33"/>
    <w:autoRedefine/>
    <w:semiHidden/>
    <w:unhideWhenUsed/>
    <w:qFormat/>
    <w:uiPriority w:val="99"/>
    <w:pPr>
      <w:spacing w:line="360" w:lineRule="auto"/>
      <w:ind w:left="100" w:leftChars="2500"/>
    </w:pPr>
    <w:rPr>
      <w:rFonts w:ascii="Calibri" w:hAnsi="Calibri" w:eastAsia="宋体" w:cs="黑体"/>
    </w:rPr>
  </w:style>
  <w:style w:type="paragraph" w:styleId="10">
    <w:name w:val="Balloon Text"/>
    <w:basedOn w:val="1"/>
    <w:link w:val="30"/>
    <w:autoRedefine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unhideWhenUsed/>
    <w:qFormat/>
    <w:uiPriority w:val="39"/>
    <w:pPr>
      <w:widowControl/>
      <w:tabs>
        <w:tab w:val="right" w:leader="dot" w:pos="8296"/>
      </w:tabs>
      <w:spacing w:after="160" w:line="259" w:lineRule="auto"/>
      <w:ind w:firstLine="880"/>
      <w:jc w:val="center"/>
    </w:pPr>
    <w:rPr>
      <w:kern w:val="0"/>
      <w:sz w:val="44"/>
      <w:szCs w:val="44"/>
    </w:rPr>
  </w:style>
  <w:style w:type="paragraph" w:styleId="14">
    <w:name w:val="toc 2"/>
    <w:basedOn w:val="1"/>
    <w:next w:val="1"/>
    <w:autoRedefine/>
    <w:unhideWhenUsed/>
    <w:qFormat/>
    <w:uiPriority w:val="39"/>
    <w:pPr>
      <w:widowControl/>
      <w:tabs>
        <w:tab w:val="right" w:leader="dot" w:pos="8296"/>
      </w:tabs>
      <w:spacing w:after="160" w:line="259" w:lineRule="auto"/>
      <w:ind w:left="420" w:leftChars="200" w:firstLine="420"/>
      <w:jc w:val="left"/>
    </w:pPr>
    <w:rPr>
      <w:kern w:val="0"/>
      <w:sz w:val="22"/>
    </w:rPr>
  </w:style>
  <w:style w:type="paragraph" w:styleId="15">
    <w:name w:val="annotation subject"/>
    <w:basedOn w:val="7"/>
    <w:next w:val="7"/>
    <w:link w:val="35"/>
    <w:semiHidden/>
    <w:unhideWhenUsed/>
    <w:qFormat/>
    <w:uiPriority w:val="99"/>
    <w:rPr>
      <w:b/>
      <w:bCs/>
    </w:rPr>
  </w:style>
  <w:style w:type="character" w:styleId="18">
    <w:name w:val="Strong"/>
    <w:basedOn w:val="17"/>
    <w:autoRedefine/>
    <w:qFormat/>
    <w:uiPriority w:val="22"/>
    <w:rPr>
      <w:b/>
    </w:rPr>
  </w:style>
  <w:style w:type="character" w:styleId="19">
    <w:name w:val="FollowedHyperlink"/>
    <w:basedOn w:val="17"/>
    <w:autoRedefine/>
    <w:semiHidden/>
    <w:unhideWhenUsed/>
    <w:qFormat/>
    <w:uiPriority w:val="99"/>
    <w:rPr>
      <w:color w:val="954F72" w:themeColor="followedHyperlink"/>
      <w:u w:val="single"/>
    </w:rPr>
  </w:style>
  <w:style w:type="character" w:styleId="20">
    <w:name w:val="Hyperlink"/>
    <w:basedOn w:val="17"/>
    <w:autoRedefine/>
    <w:unhideWhenUsed/>
    <w:qFormat/>
    <w:uiPriority w:val="99"/>
    <w:rPr>
      <w:color w:val="0563C1" w:themeColor="hyperlink"/>
      <w:u w:val="single"/>
    </w:rPr>
  </w:style>
  <w:style w:type="character" w:styleId="21">
    <w:name w:val="annotation reference"/>
    <w:basedOn w:val="17"/>
    <w:semiHidden/>
    <w:unhideWhenUsed/>
    <w:qFormat/>
    <w:uiPriority w:val="99"/>
    <w:rPr>
      <w:sz w:val="21"/>
      <w:szCs w:val="21"/>
    </w:rPr>
  </w:style>
  <w:style w:type="character" w:customStyle="1" w:styleId="22">
    <w:name w:val="页眉 字符"/>
    <w:basedOn w:val="17"/>
    <w:link w:val="12"/>
    <w:autoRedefine/>
    <w:qFormat/>
    <w:uiPriority w:val="99"/>
    <w:rPr>
      <w:sz w:val="18"/>
      <w:szCs w:val="18"/>
    </w:rPr>
  </w:style>
  <w:style w:type="character" w:customStyle="1" w:styleId="23">
    <w:name w:val="页脚 字符"/>
    <w:basedOn w:val="17"/>
    <w:link w:val="11"/>
    <w:autoRedefine/>
    <w:qFormat/>
    <w:uiPriority w:val="99"/>
    <w:rPr>
      <w:sz w:val="18"/>
      <w:szCs w:val="18"/>
    </w:rPr>
  </w:style>
  <w:style w:type="character" w:customStyle="1" w:styleId="24">
    <w:name w:val="标题 1 字符"/>
    <w:basedOn w:val="17"/>
    <w:link w:val="2"/>
    <w:autoRedefine/>
    <w:qFormat/>
    <w:uiPriority w:val="0"/>
    <w:rPr>
      <w:rFonts w:ascii="Times New Roman" w:hAnsi="Times New Roman" w:eastAsia="宋体" w:cs="Times New Roman"/>
      <w:b/>
      <w:bCs/>
      <w:kern w:val="44"/>
      <w:sz w:val="36"/>
      <w:szCs w:val="44"/>
    </w:rPr>
  </w:style>
  <w:style w:type="character" w:customStyle="1" w:styleId="25">
    <w:name w:val="标题 2 字符"/>
    <w:basedOn w:val="17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标题 3 字符"/>
    <w:basedOn w:val="17"/>
    <w:link w:val="4"/>
    <w:autoRedefine/>
    <w:qFormat/>
    <w:uiPriority w:val="9"/>
    <w:rPr>
      <w:b/>
      <w:bCs/>
      <w:sz w:val="32"/>
      <w:szCs w:val="32"/>
    </w:rPr>
  </w:style>
  <w:style w:type="paragraph" w:styleId="27">
    <w:name w:val="List Paragraph"/>
    <w:basedOn w:val="1"/>
    <w:autoRedefine/>
    <w:qFormat/>
    <w:uiPriority w:val="34"/>
    <w:pPr>
      <w:ind w:firstLine="420"/>
    </w:pPr>
  </w:style>
  <w:style w:type="character" w:customStyle="1" w:styleId="28">
    <w:name w:val="标题 4 字符"/>
    <w:basedOn w:val="17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9">
    <w:name w:val="文档结构图 字符"/>
    <w:basedOn w:val="17"/>
    <w:link w:val="6"/>
    <w:autoRedefine/>
    <w:semiHidden/>
    <w:qFormat/>
    <w:uiPriority w:val="99"/>
    <w:rPr>
      <w:rFonts w:ascii="宋体" w:eastAsia="宋体"/>
      <w:sz w:val="18"/>
      <w:szCs w:val="18"/>
    </w:rPr>
  </w:style>
  <w:style w:type="character" w:customStyle="1" w:styleId="30">
    <w:name w:val="批注框文本 字符"/>
    <w:basedOn w:val="17"/>
    <w:link w:val="10"/>
    <w:autoRedefine/>
    <w:semiHidden/>
    <w:qFormat/>
    <w:uiPriority w:val="99"/>
    <w:rPr>
      <w:sz w:val="18"/>
      <w:szCs w:val="18"/>
    </w:rPr>
  </w:style>
  <w:style w:type="paragraph" w:styleId="31">
    <w:name w:val="No Spacing"/>
    <w:link w:val="32"/>
    <w:autoRedefine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32">
    <w:name w:val="无间隔 字符"/>
    <w:basedOn w:val="17"/>
    <w:link w:val="31"/>
    <w:autoRedefine/>
    <w:qFormat/>
    <w:uiPriority w:val="1"/>
    <w:rPr>
      <w:kern w:val="0"/>
      <w:sz w:val="22"/>
    </w:rPr>
  </w:style>
  <w:style w:type="character" w:customStyle="1" w:styleId="33">
    <w:name w:val="日期 字符"/>
    <w:basedOn w:val="17"/>
    <w:link w:val="9"/>
    <w:autoRedefine/>
    <w:semiHidden/>
    <w:qFormat/>
    <w:uiPriority w:val="99"/>
    <w:rPr>
      <w:rFonts w:ascii="Calibri" w:hAnsi="Calibri" w:eastAsia="宋体" w:cs="黑体"/>
    </w:rPr>
  </w:style>
  <w:style w:type="character" w:customStyle="1" w:styleId="34">
    <w:name w:val="批注文字 字符"/>
    <w:basedOn w:val="17"/>
    <w:link w:val="7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35">
    <w:name w:val="批注主题 字符"/>
    <w:basedOn w:val="34"/>
    <w:link w:val="15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951</Words>
  <Characters>1173</Characters>
  <Lines>107</Lines>
  <Paragraphs>92</Paragraphs>
  <TotalTime>18</TotalTime>
  <ScaleCrop>false</ScaleCrop>
  <LinksUpToDate>false</LinksUpToDate>
  <CharactersWithSpaces>1205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2018-05-14T11:58:00Z</dcterms:created>
  <dc:creator>Windows 用户</dc:creator>
  <cp:lastModifiedBy>蔡磊</cp:lastModifiedBy>
  <dcterms:modified xsi:type="dcterms:W3CDTF">2025-12-31T09:24:34Z</dcterms:modified>
  <cp:revision>287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969EAA7B698E491EB5343576ACC4F3F1</vt:lpwstr>
  </property>
  <property fmtid="{D5CDD505-2E9C-101B-9397-08002B2CF9AE}" pid="4" name="KSOTemplateDocerSaveRecord">
    <vt:lpwstr>eyJoZGlkIjoiODBiOTFlN2QxZmU1NjhlMjZmOTkzNzhlNmM4YjFjYTciLCJ1c2VySWQiOiI2NjA0ODA5NTMifQ==</vt:lpwstr>
  </property>
</Properties>
</file>